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rPr>
          <w:rFonts w:ascii="Arial" w:hAnsi="Arial" w:cs="Arial"/>
          <w:b/>
          <w:bCs/>
          <w:sz w:val="22"/>
          <w:szCs w:val="22"/>
        </w:rPr>
      </w:pPr>
      <w:r>
        <w:rPr>
          <w:rFonts w:ascii="Arial" w:hAnsi="Arial" w:cs="Arial"/>
          <w:b/>
          <w:bCs/>
          <w:sz w:val="22"/>
          <w:szCs w:val="22"/>
        </w:rPr>
        <w:t>3GPP TSG RAN WG</w:t>
      </w:r>
      <w:r>
        <w:rPr>
          <w:rFonts w:hint="eastAsia" w:ascii="Arial" w:hAnsi="Arial" w:eastAsia="宋体" w:cs="Arial"/>
          <w:b/>
          <w:bCs/>
          <w:sz w:val="22"/>
          <w:szCs w:val="22"/>
          <w:lang w:val="en-US" w:eastAsia="zh-CN"/>
        </w:rPr>
        <w:t>2</w:t>
      </w:r>
      <w:r>
        <w:rPr>
          <w:rFonts w:ascii="Arial" w:hAnsi="Arial" w:cs="Arial"/>
          <w:b/>
          <w:bCs/>
          <w:sz w:val="22"/>
          <w:szCs w:val="22"/>
        </w:rPr>
        <w:t xml:space="preserve"> Meeting #</w:t>
      </w:r>
      <w:r>
        <w:rPr>
          <w:rFonts w:hint="eastAsia" w:ascii="Arial" w:hAnsi="Arial" w:eastAsia="宋体" w:cs="Arial"/>
          <w:b/>
          <w:bCs/>
          <w:sz w:val="22"/>
          <w:szCs w:val="22"/>
          <w:lang w:val="en-US" w:eastAsia="zh-CN"/>
        </w:rPr>
        <w:t>103bis</w:t>
      </w:r>
      <w:r>
        <w:rPr>
          <w:rFonts w:hint="eastAsia" w:ascii="Arial" w:hAnsi="Arial" w:eastAsia="宋体" w:cs="Arial"/>
          <w:b/>
          <w:bCs/>
          <w:sz w:val="22"/>
          <w:szCs w:val="22"/>
          <w:lang w:val="en-US" w:eastAsia="zh-CN"/>
        </w:rPr>
        <w:t xml:space="preserve">                                   </w:t>
      </w:r>
      <w:r>
        <w:rPr>
          <w:rFonts w:ascii="Arial" w:hAnsi="Arial" w:cs="Arial"/>
          <w:b/>
          <w:bCs/>
          <w:sz w:val="22"/>
          <w:szCs w:val="22"/>
        </w:rPr>
        <w:tab/>
      </w:r>
      <w:r>
        <w:rPr>
          <w:rFonts w:hint="eastAsia" w:ascii="Arial" w:hAnsi="Arial" w:eastAsia="宋体" w:cs="Arial"/>
          <w:b/>
          <w:bCs/>
          <w:sz w:val="22"/>
          <w:szCs w:val="22"/>
          <w:lang w:val="en-US" w:eastAsia="zh-CN"/>
        </w:rPr>
        <w:t xml:space="preserve">                               </w:t>
      </w:r>
      <w:r>
        <w:rPr>
          <w:rFonts w:ascii="Arial" w:hAnsi="Arial" w:cs="Arial"/>
          <w:b/>
          <w:bCs/>
          <w:sz w:val="22"/>
          <w:szCs w:val="22"/>
        </w:rPr>
        <w:t>R</w:t>
      </w:r>
      <w:r>
        <w:rPr>
          <w:rFonts w:hint="eastAsia" w:ascii="Arial" w:hAnsi="Arial" w:eastAsia="宋体" w:cs="Arial"/>
          <w:b/>
          <w:bCs/>
          <w:sz w:val="22"/>
          <w:szCs w:val="22"/>
          <w:lang w:val="en-US" w:eastAsia="zh-CN"/>
        </w:rPr>
        <w:t>2-1814172</w:t>
      </w:r>
    </w:p>
    <w:p>
      <w:pPr>
        <w:pStyle w:val="22"/>
        <w:tabs>
          <w:tab w:val="left" w:pos="1701"/>
          <w:tab w:val="right" w:pos="9923"/>
        </w:tabs>
        <w:rPr>
          <w:rFonts w:cs="Arial"/>
          <w:bCs/>
          <w:sz w:val="22"/>
          <w:szCs w:val="22"/>
          <w:lang w:val="en-GB"/>
        </w:rPr>
      </w:pPr>
      <w:r>
        <w:rPr>
          <w:rFonts w:cs="Arial"/>
          <w:bCs/>
          <w:sz w:val="22"/>
          <w:szCs w:val="22"/>
          <w:lang w:val="en-GB"/>
        </w:rPr>
        <w:t>Chengdu, China, 8th - 12th October 2018</w:t>
      </w:r>
    </w:p>
    <w:p>
      <w:pPr>
        <w:pStyle w:val="22"/>
        <w:snapToGrid w:val="0"/>
        <w:rPr>
          <w:rFonts w:hint="eastAsia" w:eastAsia="宋体" w:cs="Arial"/>
          <w:bCs/>
          <w:sz w:val="22"/>
          <w:szCs w:val="22"/>
          <w:lang w:val="en-US" w:eastAsia="zh-CN"/>
        </w:rPr>
      </w:pPr>
    </w:p>
    <w:p>
      <w:pPr>
        <w:pStyle w:val="22"/>
        <w:snapToGrid w:val="0"/>
        <w:rPr>
          <w:rFonts w:eastAsia="宋体"/>
          <w:sz w:val="22"/>
          <w:szCs w:val="22"/>
          <w:lang w:eastAsia="zh-CN"/>
        </w:rPr>
      </w:pPr>
      <w:r>
        <w:rPr>
          <w:sz w:val="22"/>
          <w:szCs w:val="22"/>
        </w:rPr>
        <w:t>Source:</w:t>
      </w:r>
      <w:r>
        <w:rPr>
          <w:rFonts w:hint="eastAsia" w:eastAsia="宋体"/>
          <w:sz w:val="22"/>
          <w:szCs w:val="22"/>
          <w:lang w:eastAsia="zh-CN"/>
        </w:rPr>
        <w:t xml:space="preserve">             </w:t>
      </w:r>
      <w:r>
        <w:rPr>
          <w:sz w:val="22"/>
          <w:szCs w:val="22"/>
        </w:rPr>
        <w:t>ZTE</w:t>
      </w:r>
    </w:p>
    <w:p>
      <w:pPr>
        <w:pStyle w:val="22"/>
        <w:snapToGrid w:val="0"/>
        <w:rPr>
          <w:rFonts w:hint="eastAsia" w:eastAsia="宋体"/>
          <w:sz w:val="22"/>
          <w:szCs w:val="22"/>
          <w:lang w:val="en-US" w:eastAsia="zh-CN"/>
        </w:rPr>
      </w:pPr>
      <w:r>
        <w:rPr>
          <w:sz w:val="22"/>
          <w:szCs w:val="22"/>
        </w:rPr>
        <w:t>Title:</w:t>
      </w:r>
      <w:r>
        <w:rPr>
          <w:rFonts w:hint="eastAsia" w:eastAsia="宋体"/>
          <w:sz w:val="22"/>
          <w:szCs w:val="22"/>
          <w:lang w:eastAsia="zh-CN"/>
        </w:rPr>
        <w:t xml:space="preserve">                  </w:t>
      </w:r>
      <w:r>
        <w:rPr>
          <w:rFonts w:hint="eastAsia" w:eastAsia="宋体"/>
          <w:sz w:val="22"/>
          <w:szCs w:val="22"/>
          <w:lang w:val="en-US" w:eastAsia="zh-CN"/>
        </w:rPr>
        <w:t xml:space="preserve">In-device coexistence between NR V2X and LTE V2X </w:t>
      </w:r>
    </w:p>
    <w:p>
      <w:pPr>
        <w:pStyle w:val="22"/>
        <w:snapToGrid w:val="0"/>
        <w:rPr>
          <w:rFonts w:eastAsia="宋体"/>
          <w:sz w:val="22"/>
          <w:szCs w:val="22"/>
          <w:lang w:eastAsia="zh-CN"/>
        </w:rPr>
      </w:pPr>
      <w:r>
        <w:rPr>
          <w:sz w:val="22"/>
          <w:szCs w:val="22"/>
        </w:rPr>
        <w:t>Agenda item:</w:t>
      </w:r>
      <w:r>
        <w:rPr>
          <w:rFonts w:hint="eastAsia" w:eastAsia="宋体"/>
          <w:sz w:val="22"/>
          <w:szCs w:val="22"/>
          <w:lang w:eastAsia="zh-CN"/>
        </w:rPr>
        <w:t xml:space="preserve">    </w:t>
      </w:r>
      <w:r>
        <w:rPr>
          <w:rFonts w:hint="eastAsia" w:eastAsia="宋体"/>
          <w:sz w:val="22"/>
          <w:szCs w:val="22"/>
          <w:lang w:val="en-US" w:eastAsia="zh-CN"/>
        </w:rPr>
        <w:t>11.4.6</w:t>
      </w:r>
    </w:p>
    <w:p>
      <w:pPr>
        <w:pStyle w:val="22"/>
        <w:snapToGrid w:val="0"/>
        <w:rPr>
          <w:rFonts w:eastAsia="宋体"/>
          <w:sz w:val="22"/>
          <w:szCs w:val="22"/>
          <w:lang w:eastAsia="zh-CN"/>
        </w:rPr>
      </w:pPr>
      <w:r>
        <w:rPr>
          <w:sz w:val="22"/>
          <w:szCs w:val="22"/>
        </w:rPr>
        <w:t>Document for:  Discussion and Decision</w:t>
      </w:r>
    </w:p>
    <w:p>
      <w:pPr>
        <w:pStyle w:val="2"/>
        <w:snapToGrid w:val="0"/>
        <w:spacing w:beforeLines="0" w:after="180" w:afterLines="50"/>
        <w:rPr>
          <w:sz w:val="32"/>
          <w:szCs w:val="32"/>
        </w:rPr>
      </w:pPr>
      <w:r>
        <w:rPr>
          <w:sz w:val="32"/>
          <w:szCs w:val="32"/>
        </w:rPr>
        <w:t>I</w:t>
      </w:r>
      <w:r>
        <w:rPr>
          <w:rFonts w:hint="eastAsia"/>
          <w:sz w:val="32"/>
          <w:szCs w:val="32"/>
        </w:rPr>
        <w:t>ntroduction</w:t>
      </w:r>
    </w:p>
    <w:p>
      <w:pPr>
        <w:jc w:val="both"/>
        <w:rPr>
          <w:rFonts w:hint="eastAsia"/>
          <w:bCs/>
          <w:lang w:val="en-US" w:eastAsia="zh-CN"/>
        </w:rPr>
      </w:pPr>
      <w:r>
        <w:rPr>
          <w:rFonts w:hint="eastAsia"/>
          <w:bCs/>
          <w:lang w:val="en-US" w:eastAsia="zh-CN"/>
        </w:rPr>
        <w:t xml:space="preserve">In RAN#80, the new SI named “Study on NR V2X” [1] was approved to study the enhancement to support advanced V2X services which are captured in TR 22.886 [2]. One of the objectives is to study </w:t>
      </w:r>
      <w:r>
        <w:rPr>
          <w:rFonts w:ascii="Times New Roman" w:hAnsi="Times New Roman"/>
          <w:sz w:val="20"/>
          <w:szCs w:val="20"/>
          <w:lang w:val="en-US" w:eastAsia="zh-CN"/>
        </w:rPr>
        <w:t xml:space="preserve">the feasibility of the coexistence </w:t>
      </w:r>
      <w:r>
        <w:rPr>
          <w:rFonts w:ascii="Times New Roman" w:hAnsi="Times New Roman"/>
          <w:sz w:val="20"/>
          <w:szCs w:val="20"/>
          <w:lang w:val="en-US" w:eastAsia="ko-KR"/>
        </w:rPr>
        <w:t>mechanisms</w:t>
      </w:r>
      <w:r>
        <w:rPr>
          <w:rFonts w:ascii="Times New Roman" w:hAnsi="Times New Roman"/>
          <w:sz w:val="20"/>
          <w:szCs w:val="20"/>
          <w:lang w:val="en-US" w:eastAsia="zh-CN"/>
        </w:rPr>
        <w:t xml:space="preserve"> when NR sidelink and LTE sidelink t</w:t>
      </w:r>
      <w:r>
        <w:rPr>
          <w:rFonts w:ascii="Times New Roman" w:hAnsi="Times New Roman"/>
          <w:color w:val="auto"/>
          <w:sz w:val="20"/>
          <w:szCs w:val="20"/>
          <w:lang w:val="en-US" w:eastAsia="zh-CN"/>
        </w:rPr>
        <w:t>echnologies are equipped in the same vehicle for the ‘not co-channel’ scenario</w:t>
      </w:r>
      <w:r>
        <w:rPr>
          <w:rFonts w:hint="eastAsia"/>
          <w:bCs/>
          <w:lang w:val="en-US" w:eastAsia="zh-CN"/>
        </w:rPr>
        <w:t xml:space="preserve">. In this contribution, the challenges of in-device coexistence of NR V2X and LTE V2X is discussed firstly. And then some initial considerations and potential solutions to resolve the IDC issue are discussed. </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96"/>
              <w:numPr>
                <w:ilvl w:val="0"/>
                <w:numId w:val="2"/>
              </w:numPr>
              <w:spacing w:after="0" w:line="240" w:lineRule="auto"/>
              <w:jc w:val="both"/>
              <w:rPr>
                <w:rFonts w:ascii="Times New Roman" w:hAnsi="Times New Roman"/>
                <w:color w:val="auto"/>
                <w:sz w:val="20"/>
                <w:szCs w:val="20"/>
                <w:lang w:val="en-US"/>
              </w:rPr>
            </w:pPr>
            <w:r>
              <w:rPr>
                <w:rFonts w:ascii="Times New Roman" w:hAnsi="Times New Roman"/>
                <w:sz w:val="20"/>
                <w:szCs w:val="20"/>
                <w:lang w:val="en-US" w:eastAsia="ko-KR"/>
              </w:rPr>
              <w:t xml:space="preserve">In-device coexistence: Study </w:t>
            </w:r>
            <w:r>
              <w:rPr>
                <w:rFonts w:ascii="Times New Roman" w:hAnsi="Times New Roman"/>
                <w:sz w:val="20"/>
                <w:szCs w:val="20"/>
                <w:lang w:val="en-US" w:eastAsia="zh-CN"/>
              </w:rPr>
              <w:t xml:space="preserve">the feasibility of the coexistence </w:t>
            </w:r>
            <w:r>
              <w:rPr>
                <w:rFonts w:ascii="Times New Roman" w:hAnsi="Times New Roman"/>
                <w:sz w:val="20"/>
                <w:szCs w:val="20"/>
                <w:lang w:val="en-US" w:eastAsia="ko-KR"/>
              </w:rPr>
              <w:t>mechanisms</w:t>
            </w:r>
            <w:r>
              <w:rPr>
                <w:rFonts w:ascii="Times New Roman" w:hAnsi="Times New Roman"/>
                <w:sz w:val="20"/>
                <w:szCs w:val="20"/>
                <w:lang w:val="en-US" w:eastAsia="zh-CN"/>
              </w:rPr>
              <w:t xml:space="preserve"> when NR sidelink and LTE sidelink t</w:t>
            </w:r>
            <w:r>
              <w:rPr>
                <w:rFonts w:ascii="Times New Roman" w:hAnsi="Times New Roman"/>
                <w:color w:val="auto"/>
                <w:sz w:val="20"/>
                <w:szCs w:val="20"/>
                <w:lang w:val="en-US" w:eastAsia="zh-CN"/>
              </w:rPr>
              <w:t>echnologies are equipped in the same vehicle for the ‘not co-channel’ scenario</w:t>
            </w:r>
            <w:r>
              <w:rPr>
                <w:rFonts w:ascii="Times New Roman" w:hAnsi="Times New Roman"/>
                <w:color w:val="auto"/>
                <w:sz w:val="20"/>
                <w:szCs w:val="20"/>
                <w:lang w:val="en-US"/>
              </w:rPr>
              <w:t xml:space="preserve">: </w:t>
            </w:r>
          </w:p>
          <w:p>
            <w:pPr>
              <w:pStyle w:val="96"/>
              <w:numPr>
                <w:ilvl w:val="0"/>
                <w:numId w:val="3"/>
              </w:numPr>
              <w:spacing w:after="0" w:line="240" w:lineRule="auto"/>
              <w:jc w:val="both"/>
              <w:rPr>
                <w:rFonts w:ascii="Times New Roman" w:hAnsi="Times New Roman"/>
                <w:color w:val="auto"/>
                <w:sz w:val="20"/>
                <w:szCs w:val="20"/>
                <w:lang w:val="en-US"/>
              </w:rPr>
            </w:pPr>
            <w:r>
              <w:rPr>
                <w:rFonts w:ascii="Times New Roman" w:hAnsi="Times New Roman"/>
                <w:color w:val="auto"/>
                <w:sz w:val="20"/>
                <w:szCs w:val="20"/>
                <w:lang w:val="en-US"/>
              </w:rPr>
              <w:t>Advanced V2X services provided by NR sidelink coexisting with V2X service provided by LTE sidelink in different channels (i.e., not co-channel).  Not co-channel could include both adjacent channel and channels that are sufficiently far apart.</w:t>
            </w:r>
          </w:p>
          <w:p>
            <w:pPr>
              <w:numPr>
                <w:ilvl w:val="0"/>
                <w:numId w:val="0"/>
              </w:numPr>
              <w:overflowPunct/>
              <w:autoSpaceDE/>
              <w:autoSpaceDN/>
              <w:adjustRightInd/>
              <w:spacing w:after="0"/>
              <w:ind w:left="360" w:leftChars="0"/>
              <w:contextualSpacing/>
              <w:jc w:val="both"/>
              <w:textAlignment w:val="auto"/>
              <w:rPr>
                <w:rFonts w:hint="eastAsia"/>
                <w:bCs/>
                <w:vertAlign w:val="baseline"/>
                <w:lang w:val="en-US" w:eastAsia="zh-CN"/>
              </w:rPr>
            </w:pPr>
            <w:r>
              <w:rPr>
                <w:color w:val="auto"/>
                <w:szCs w:val="28"/>
                <w:highlight w:val="none"/>
                <w:lang w:val="en-US" w:eastAsia="ko-KR"/>
              </w:rPr>
              <w:t>NOTE: It is assumed that any coexistence requirements and mechanisms of NR sidelink with non-3GPP technologies will not be defined by 3GPP.</w:t>
            </w:r>
            <w:r>
              <w:rPr>
                <w:color w:val="auto"/>
                <w:szCs w:val="28"/>
                <w:lang w:val="en-US" w:eastAsia="ko-KR"/>
              </w:rPr>
              <w:t xml:space="preserve"> </w:t>
            </w:r>
          </w:p>
        </w:tc>
      </w:tr>
    </w:tbl>
    <w:p>
      <w:pPr>
        <w:jc w:val="both"/>
        <w:rPr>
          <w:rFonts w:hint="eastAsia"/>
          <w:bCs/>
          <w:lang w:val="en-US" w:eastAsia="zh-CN"/>
        </w:rPr>
      </w:pPr>
    </w:p>
    <w:p>
      <w:pPr>
        <w:pStyle w:val="2"/>
        <w:rPr>
          <w:lang w:val="en-US" w:eastAsia="zh-CN"/>
        </w:rPr>
      </w:pPr>
      <w:r>
        <w:rPr>
          <w:rFonts w:hint="eastAsia"/>
          <w:lang w:val="en-US" w:eastAsia="zh-CN"/>
        </w:rPr>
        <w:t xml:space="preserve">Discussion </w:t>
      </w:r>
    </w:p>
    <w:p>
      <w:pPr>
        <w:rPr>
          <w:rFonts w:hint="eastAsia"/>
          <w:lang w:val="en-US" w:eastAsia="zh-CN"/>
        </w:rPr>
      </w:pPr>
      <w:r>
        <w:rPr>
          <w:rFonts w:hint="eastAsia"/>
          <w:lang w:val="en-US" w:eastAsia="zh-CN"/>
        </w:rPr>
        <w:t>The in-device coexistence issue was discussed in RAN1 in last meeting and some agreements were reached as copied in the below [3]. As agreed in RAN1#94, both scenarios of LTE sidelink and NR sidelink have/don</w:t>
      </w:r>
      <w:r>
        <w:rPr>
          <w:rFonts w:hint="default"/>
          <w:lang w:val="en-US" w:eastAsia="zh-CN"/>
        </w:rPr>
        <w:t>’</w:t>
      </w:r>
      <w:r>
        <w:rPr>
          <w:rFonts w:hint="eastAsia"/>
          <w:lang w:val="en-US" w:eastAsia="zh-CN"/>
        </w:rPr>
        <w:t>t have coordinated procedures shall be considered. And TDM/FDM shall be considered as potential solutions for the coexistence issue. In this section we discuss the in-device coexistence issue from RAN2</w:t>
      </w:r>
      <w:r>
        <w:rPr>
          <w:rFonts w:hint="default"/>
          <w:lang w:val="en-US" w:eastAsia="zh-CN"/>
        </w:rPr>
        <w:t>’</w:t>
      </w:r>
      <w:r>
        <w:rPr>
          <w:rFonts w:hint="eastAsia"/>
          <w:lang w:val="en-US" w:eastAsia="zh-CN"/>
        </w:rPr>
        <w:t xml:space="preserve">s point of view. </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ind w:left="720" w:hanging="720"/>
              <w:rPr>
                <w:b/>
                <w:szCs w:val="20"/>
                <w:highlight w:val="none"/>
                <w:lang w:val="en-US" w:eastAsia="zh-CN"/>
              </w:rPr>
            </w:pPr>
            <w:r>
              <w:rPr>
                <w:szCs w:val="20"/>
                <w:highlight w:val="none"/>
                <w:lang w:val="en-US" w:eastAsia="zh-CN"/>
              </w:rPr>
              <w:t>Agreements</w:t>
            </w:r>
            <w:r>
              <w:rPr>
                <w:b/>
                <w:szCs w:val="20"/>
                <w:highlight w:val="none"/>
                <w:lang w:val="en-US" w:eastAsia="zh-CN"/>
              </w:rPr>
              <w:t>:</w:t>
            </w:r>
          </w:p>
          <w:p>
            <w:pPr>
              <w:rPr>
                <w:rFonts w:eastAsia="Malgun Gothic"/>
                <w:highlight w:val="none"/>
                <w:lang w:val="en-US" w:eastAsia="ko-KR"/>
              </w:rPr>
            </w:pPr>
            <w:r>
              <w:rPr>
                <w:rFonts w:hint="eastAsia"/>
                <w:highlight w:val="none"/>
                <w:lang w:eastAsia="zh-CN"/>
              </w:rPr>
              <w:t xml:space="preserve">For the study of LTE-V2X and NR-V2X </w:t>
            </w:r>
            <w:r>
              <w:rPr>
                <w:rFonts w:hint="eastAsia"/>
                <w:highlight w:val="none"/>
                <w:lang w:eastAsia="ko-KR"/>
              </w:rPr>
              <w:t xml:space="preserve">sidelink </w:t>
            </w:r>
            <w:r>
              <w:rPr>
                <w:rFonts w:hint="eastAsia"/>
                <w:highlight w:val="none"/>
                <w:lang w:eastAsia="zh-CN"/>
              </w:rPr>
              <w:t xml:space="preserve">co-existence, </w:t>
            </w:r>
            <w:r>
              <w:rPr>
                <w:rFonts w:hint="eastAsia"/>
                <w:highlight w:val="none"/>
                <w:lang w:eastAsia="ko-KR"/>
              </w:rPr>
              <w:t xml:space="preserve">at least the following scenarios are considered from the UEs perspective: </w:t>
            </w:r>
          </w:p>
          <w:p>
            <w:pPr>
              <w:numPr>
                <w:ilvl w:val="0"/>
                <w:numId w:val="4"/>
              </w:numPr>
              <w:contextualSpacing/>
              <w:rPr>
                <w:rFonts w:eastAsia="Malgun Gothic"/>
                <w:szCs w:val="20"/>
                <w:highlight w:val="none"/>
                <w:lang w:val="en-US" w:eastAsia="ko-KR"/>
              </w:rPr>
            </w:pPr>
            <w:r>
              <w:rPr>
                <w:rFonts w:hint="eastAsia"/>
                <w:szCs w:val="20"/>
                <w:highlight w:val="none"/>
                <w:lang w:eastAsia="ko-KR"/>
              </w:rPr>
              <w:t>LTE sidelink and NR sidelink do not have any coordinated procedures</w:t>
            </w:r>
          </w:p>
          <w:p>
            <w:pPr>
              <w:numPr>
                <w:ilvl w:val="0"/>
                <w:numId w:val="4"/>
              </w:numPr>
              <w:contextualSpacing/>
              <w:rPr>
                <w:rFonts w:eastAsia="Malgun Gothic"/>
                <w:szCs w:val="20"/>
                <w:highlight w:val="none"/>
                <w:lang w:val="en-US" w:eastAsia="ko-KR"/>
              </w:rPr>
            </w:pPr>
            <w:r>
              <w:rPr>
                <w:rFonts w:hint="eastAsia"/>
                <w:szCs w:val="20"/>
                <w:highlight w:val="none"/>
                <w:lang w:eastAsia="ko-KR"/>
              </w:rPr>
              <w:t xml:space="preserve">LTE sidelink and NR sidelink have coordinated procedures and </w:t>
            </w:r>
            <w:r>
              <w:rPr>
                <w:rFonts w:hint="eastAsia"/>
                <w:szCs w:val="20"/>
                <w:highlight w:val="none"/>
                <w:lang w:eastAsia="zh-CN"/>
              </w:rPr>
              <w:t>half-dup</w:t>
            </w:r>
            <w:r>
              <w:rPr>
                <w:rFonts w:hint="eastAsia"/>
                <w:szCs w:val="20"/>
                <w:highlight w:val="none"/>
                <w:lang w:eastAsia="ko-KR"/>
              </w:rPr>
              <w:t>l</w:t>
            </w:r>
            <w:r>
              <w:rPr>
                <w:rFonts w:hint="eastAsia"/>
                <w:szCs w:val="20"/>
                <w:highlight w:val="none"/>
                <w:lang w:eastAsia="zh-CN"/>
              </w:rPr>
              <w:t>ex constraints are assumed</w:t>
            </w:r>
          </w:p>
          <w:p>
            <w:pPr>
              <w:numPr>
                <w:ilvl w:val="1"/>
                <w:numId w:val="4"/>
              </w:numPr>
              <w:contextualSpacing/>
              <w:rPr>
                <w:b/>
                <w:highlight w:val="none"/>
                <w:lang w:eastAsia="zh-CN"/>
              </w:rPr>
            </w:pPr>
            <w:r>
              <w:rPr>
                <w:rFonts w:hint="eastAsia"/>
                <w:szCs w:val="20"/>
                <w:highlight w:val="none"/>
                <w:lang w:eastAsia="ko-KR"/>
              </w:rPr>
              <w:t>RAN1 will focus on this scenario in the SI</w:t>
            </w:r>
          </w:p>
          <w:p>
            <w:pPr>
              <w:ind w:left="720" w:hanging="720"/>
              <w:rPr>
                <w:b/>
                <w:szCs w:val="20"/>
                <w:highlight w:val="none"/>
                <w:lang w:eastAsia="zh-CN"/>
              </w:rPr>
            </w:pPr>
            <w:r>
              <w:rPr>
                <w:szCs w:val="20"/>
                <w:highlight w:val="none"/>
                <w:lang w:eastAsia="zh-CN"/>
              </w:rPr>
              <w:t>Agreements</w:t>
            </w:r>
            <w:r>
              <w:rPr>
                <w:b/>
                <w:szCs w:val="20"/>
                <w:highlight w:val="none"/>
                <w:lang w:eastAsia="zh-CN"/>
              </w:rPr>
              <w:t>:</w:t>
            </w:r>
          </w:p>
          <w:p>
            <w:pPr>
              <w:ind w:left="720" w:hanging="720"/>
              <w:rPr>
                <w:szCs w:val="20"/>
                <w:lang w:eastAsia="zh-CN"/>
              </w:rPr>
            </w:pPr>
            <w:r>
              <w:rPr>
                <w:szCs w:val="20"/>
                <w:lang w:eastAsia="zh-CN"/>
              </w:rPr>
              <w:t xml:space="preserve">RAN1 focus on at least the following potential solutions for coexistence at least until the next meeting: </w:t>
            </w:r>
          </w:p>
          <w:p>
            <w:pPr>
              <w:numPr>
                <w:ilvl w:val="0"/>
                <w:numId w:val="5"/>
              </w:numPr>
              <w:spacing w:after="180"/>
              <w:contextualSpacing/>
              <w:rPr>
                <w:szCs w:val="20"/>
                <w:lang w:eastAsia="zh-CN"/>
              </w:rPr>
            </w:pPr>
            <w:r>
              <w:rPr>
                <w:szCs w:val="20"/>
                <w:lang w:eastAsia="zh-CN"/>
              </w:rPr>
              <w:t>TDM of LTE V2X and NR V2X sidelink transmissions</w:t>
            </w:r>
          </w:p>
          <w:p>
            <w:pPr>
              <w:numPr>
                <w:ilvl w:val="0"/>
                <w:numId w:val="5"/>
              </w:numPr>
              <w:spacing w:after="180"/>
              <w:contextualSpacing/>
              <w:rPr>
                <w:rFonts w:hint="eastAsia"/>
                <w:vertAlign w:val="baseline"/>
                <w:lang w:val="en-US" w:eastAsia="zh-CN"/>
              </w:rPr>
            </w:pPr>
            <w:r>
              <w:rPr>
                <w:szCs w:val="20"/>
                <w:lang w:eastAsia="zh-CN"/>
              </w:rPr>
              <w:t>FDM of LTE V2X and NR V2X sidelink transmissions</w:t>
            </w:r>
          </w:p>
        </w:tc>
      </w:tr>
    </w:tbl>
    <w:p>
      <w:pPr>
        <w:pStyle w:val="3"/>
        <w:rPr>
          <w:rFonts w:hint="eastAsia" w:eastAsia="宋体"/>
          <w:lang w:val="en-US" w:eastAsia="zh-CN"/>
        </w:rPr>
      </w:pPr>
      <w:r>
        <w:rPr>
          <w:rFonts w:hint="eastAsia" w:eastAsia="宋体"/>
          <w:lang w:val="en-US" w:eastAsia="zh-CN"/>
        </w:rPr>
        <w:t xml:space="preserve">Main challenges </w:t>
      </w:r>
    </w:p>
    <w:p>
      <w:pPr>
        <w:numPr>
          <w:ilvl w:val="0"/>
          <w:numId w:val="6"/>
        </w:numPr>
        <w:ind w:left="420" w:leftChars="0" w:hanging="420" w:firstLineChars="0"/>
        <w:rPr>
          <w:lang w:val="en-US" w:eastAsia="zh-CN"/>
        </w:rPr>
      </w:pPr>
      <w:r>
        <w:rPr>
          <w:rFonts w:hint="eastAsia"/>
          <w:lang w:val="en-US" w:eastAsia="zh-CN"/>
        </w:rPr>
        <w:t>Challenge 1. simultaneous TX/RX of NR V2X and LTE V2X</w:t>
      </w:r>
    </w:p>
    <w:p>
      <w:pPr>
        <w:rPr>
          <w:rFonts w:hint="eastAsia"/>
          <w:color w:val="auto"/>
          <w:lang w:val="en-US" w:eastAsia="zh-CN"/>
        </w:rPr>
      </w:pPr>
      <w:r>
        <w:rPr>
          <w:rFonts w:hint="eastAsia" w:eastAsia="宋体"/>
          <w:color w:val="auto"/>
          <w:lang w:val="en-US" w:eastAsia="zh-CN"/>
        </w:rPr>
        <w:t xml:space="preserve">According to the NR V2X SI, </w:t>
      </w:r>
      <w:r>
        <w:rPr>
          <w:rFonts w:hint="eastAsia" w:ascii="Times New Roman" w:hAnsi="Times New Roman" w:eastAsia="宋体"/>
          <w:color w:val="auto"/>
          <w:sz w:val="20"/>
          <w:szCs w:val="20"/>
          <w:lang w:val="en-US" w:eastAsia="zh-CN"/>
        </w:rPr>
        <w:t>a</w:t>
      </w:r>
      <w:r>
        <w:rPr>
          <w:rFonts w:ascii="Times New Roman" w:hAnsi="Times New Roman"/>
          <w:color w:val="auto"/>
          <w:sz w:val="20"/>
          <w:szCs w:val="20"/>
          <w:lang w:val="en-US"/>
        </w:rPr>
        <w:t xml:space="preserve">dvanced V2X services provided by NR sidelink </w:t>
      </w:r>
      <w:r>
        <w:rPr>
          <w:rFonts w:hint="eastAsia" w:ascii="Times New Roman" w:hAnsi="Times New Roman" w:eastAsia="宋体"/>
          <w:color w:val="auto"/>
          <w:sz w:val="20"/>
          <w:szCs w:val="20"/>
          <w:lang w:val="en-US" w:eastAsia="zh-CN"/>
        </w:rPr>
        <w:t xml:space="preserve">may </w:t>
      </w:r>
      <w:r>
        <w:rPr>
          <w:rFonts w:ascii="Times New Roman" w:hAnsi="Times New Roman"/>
          <w:color w:val="auto"/>
          <w:sz w:val="20"/>
          <w:szCs w:val="20"/>
          <w:lang w:val="en-US"/>
        </w:rPr>
        <w:t>coexist with V2X service provided by LTE sidelink in different channels</w:t>
      </w:r>
      <w:r>
        <w:rPr>
          <w:rFonts w:hint="eastAsia" w:ascii="Times New Roman" w:hAnsi="Times New Roman" w:eastAsia="宋体"/>
          <w:color w:val="auto"/>
          <w:sz w:val="20"/>
          <w:szCs w:val="20"/>
          <w:lang w:val="en-US" w:eastAsia="zh-CN"/>
        </w:rPr>
        <w:t xml:space="preserve"> </w:t>
      </w:r>
      <w:r>
        <w:rPr>
          <w:rFonts w:ascii="Times New Roman" w:hAnsi="Times New Roman"/>
          <w:color w:val="auto"/>
          <w:sz w:val="20"/>
          <w:szCs w:val="20"/>
          <w:lang w:val="en-US"/>
        </w:rPr>
        <w:t>(i.e., not co-channel)</w:t>
      </w:r>
      <w:r>
        <w:rPr>
          <w:rFonts w:hint="eastAsia" w:eastAsia="宋体"/>
          <w:color w:val="auto"/>
          <w:lang w:val="en-US" w:eastAsia="zh-CN"/>
        </w:rPr>
        <w:t xml:space="preserve">  in the same vehicle UE. </w:t>
      </w:r>
      <w:r>
        <w:rPr>
          <w:rFonts w:hint="eastAsia"/>
          <w:color w:val="auto"/>
          <w:lang w:val="en-US" w:eastAsia="zh-CN"/>
        </w:rPr>
        <w:t>As we know, d</w:t>
      </w:r>
      <w:r>
        <w:rPr>
          <w:color w:val="auto"/>
          <w:lang w:eastAsia="zh-CN"/>
        </w:rPr>
        <w:t>ue to</w:t>
      </w:r>
      <w:r>
        <w:rPr>
          <w:color w:val="auto"/>
        </w:rPr>
        <w:t xml:space="preserve"> extreme proximity of </w:t>
      </w:r>
      <w:r>
        <w:rPr>
          <w:color w:val="auto"/>
          <w:lang w:eastAsia="zh-CN"/>
        </w:rPr>
        <w:t>multiple</w:t>
      </w:r>
      <w:r>
        <w:rPr>
          <w:color w:val="auto"/>
        </w:rPr>
        <w:t xml:space="preserve"> radio transceivers</w:t>
      </w:r>
      <w:r>
        <w:rPr>
          <w:rFonts w:hint="eastAsia" w:eastAsia="宋体"/>
          <w:color w:val="auto"/>
          <w:lang w:val="en-US" w:eastAsia="zh-CN"/>
        </w:rPr>
        <w:t xml:space="preserve"> </w:t>
      </w:r>
      <w:r>
        <w:rPr>
          <w:color w:val="auto"/>
          <w:lang w:eastAsia="zh-CN"/>
        </w:rPr>
        <w:t>within</w:t>
      </w:r>
      <w:r>
        <w:rPr>
          <w:color w:val="auto"/>
        </w:rPr>
        <w:t xml:space="preserve"> the same U</w:t>
      </w:r>
      <w:r>
        <w:rPr>
          <w:rFonts w:hint="eastAsia" w:eastAsia="宋体"/>
          <w:color w:val="auto"/>
          <w:lang w:val="en-US" w:eastAsia="zh-CN"/>
        </w:rPr>
        <w:t xml:space="preserve">E, </w:t>
      </w:r>
      <w:r>
        <w:rPr>
          <w:color w:val="auto"/>
        </w:rPr>
        <w:t>the transmi</w:t>
      </w:r>
      <w:r>
        <w:rPr>
          <w:rFonts w:hint="eastAsia" w:eastAsia="宋体"/>
          <w:color w:val="auto"/>
          <w:lang w:val="en-US" w:eastAsia="zh-CN"/>
        </w:rPr>
        <w:t>ssion</w:t>
      </w:r>
      <w:r>
        <w:rPr>
          <w:color w:val="auto"/>
        </w:rPr>
        <w:t xml:space="preserve"> power of one transmitter may be much higher than the rec</w:t>
      </w:r>
      <w:r>
        <w:rPr>
          <w:rFonts w:hint="eastAsia" w:eastAsia="宋体"/>
          <w:color w:val="auto"/>
          <w:lang w:val="en-US" w:eastAsia="zh-CN"/>
        </w:rPr>
        <w:t>eption</w:t>
      </w:r>
      <w:r>
        <w:rPr>
          <w:color w:val="auto"/>
        </w:rPr>
        <w:t xml:space="preserve"> power level </w:t>
      </w:r>
      <w:r>
        <w:rPr>
          <w:color w:val="auto"/>
          <w:lang w:eastAsia="zh-CN"/>
        </w:rPr>
        <w:t>of</w:t>
      </w:r>
      <w:r>
        <w:rPr>
          <w:color w:val="auto"/>
        </w:rPr>
        <w:t xml:space="preserve"> another receiver.</w:t>
      </w:r>
      <w:r>
        <w:rPr>
          <w:rFonts w:hint="eastAsia" w:eastAsia="宋体"/>
          <w:color w:val="auto"/>
          <w:lang w:val="en-US" w:eastAsia="zh-CN"/>
        </w:rPr>
        <w:t xml:space="preserve"> </w:t>
      </w:r>
      <w:r>
        <w:rPr>
          <w:color w:val="auto"/>
          <w:lang w:eastAsia="zh-CN"/>
        </w:rPr>
        <w:t>By means of filter technologies and sufficient frequency separation</w:t>
      </w:r>
      <w:r>
        <w:rPr>
          <w:color w:val="auto"/>
        </w:rPr>
        <w:t>, the transmi</w:t>
      </w:r>
      <w:r>
        <w:rPr>
          <w:rFonts w:hint="eastAsia" w:eastAsia="宋体"/>
          <w:color w:val="auto"/>
          <w:lang w:val="en-US" w:eastAsia="zh-CN"/>
        </w:rPr>
        <w:t>ssion</w:t>
      </w:r>
      <w:r>
        <w:rPr>
          <w:color w:val="auto"/>
        </w:rPr>
        <w:t xml:space="preserve"> signal may not result in significant interference. </w:t>
      </w:r>
      <w:r>
        <w:rPr>
          <w:color w:val="auto"/>
          <w:lang w:eastAsia="zh-CN"/>
        </w:rPr>
        <w:t>But for some coexistence scenarios, e.g. different radio technologies within the same UE operating on adjacent frequencies,</w:t>
      </w:r>
      <w:r>
        <w:rPr>
          <w:rFonts w:hint="eastAsia"/>
          <w:color w:val="auto"/>
          <w:lang w:val="en-US" w:eastAsia="zh-CN"/>
        </w:rPr>
        <w:t xml:space="preserve"> the leakage from Tx to Rx is </w:t>
      </w:r>
      <w:r>
        <w:t>too large</w:t>
      </w:r>
      <w:r>
        <w:rPr>
          <w:rFonts w:hint="eastAsia" w:eastAsia="宋体"/>
          <w:lang w:val="en-US" w:eastAsia="zh-CN"/>
        </w:rPr>
        <w:t xml:space="preserve"> for any reception of the Rx chain, which is also called half duplex restriction. </w:t>
      </w:r>
    </w:p>
    <w:p>
      <w:pPr>
        <w:numPr>
          <w:ilvl w:val="0"/>
          <w:numId w:val="0"/>
        </w:numPr>
        <w:ind w:firstLine="0" w:firstLineChars="0"/>
        <w:rPr>
          <w:rFonts w:hint="eastAsia"/>
          <w:lang w:val="en-US" w:eastAsia="zh-CN"/>
        </w:rPr>
      </w:pPr>
      <w:r>
        <w:rPr>
          <w:rFonts w:hint="eastAsia"/>
          <w:b/>
          <w:bCs/>
          <w:lang w:val="en-US" w:eastAsia="zh-CN"/>
        </w:rPr>
        <w:t>Observation 1：H</w:t>
      </w:r>
      <w:r>
        <w:rPr>
          <w:rFonts w:hint="eastAsia" w:eastAsia="宋体"/>
          <w:b/>
          <w:bCs/>
          <w:lang w:val="en-US" w:eastAsia="zh-CN"/>
        </w:rPr>
        <w:t xml:space="preserve">alf duplex restriction exists in the scenario of coexistence of Tx/Rx of NR V2X and LTE V2X in the same UE in adjacent channels.  </w:t>
      </w:r>
    </w:p>
    <w:p>
      <w:pPr>
        <w:numPr>
          <w:ilvl w:val="0"/>
          <w:numId w:val="7"/>
        </w:numPr>
        <w:ind w:left="420" w:leftChars="0" w:hanging="420" w:firstLineChars="0"/>
        <w:rPr>
          <w:rFonts w:hint="eastAsia"/>
          <w:lang w:val="en-US" w:eastAsia="zh-CN"/>
        </w:rPr>
      </w:pPr>
      <w:r>
        <w:rPr>
          <w:rFonts w:hint="eastAsia"/>
          <w:lang w:val="en-US" w:eastAsia="zh-CN"/>
        </w:rPr>
        <w:t>Challenge 2. simultaneous transmission of NR V2X and LTE V2X</w:t>
      </w:r>
    </w:p>
    <w:p>
      <w:pPr>
        <w:jc w:val="both"/>
        <w:rPr>
          <w:rFonts w:hint="eastAsia" w:ascii="Calibri" w:hAnsi="Calibri" w:eastAsia="宋体"/>
          <w:szCs w:val="22"/>
          <w:lang w:val="en-US" w:eastAsia="zh-CN"/>
        </w:rPr>
      </w:pPr>
      <w:r>
        <w:rPr>
          <w:rFonts w:hint="eastAsia"/>
          <w:lang w:val="en-US" w:eastAsia="zh-CN"/>
        </w:rPr>
        <w:t xml:space="preserve">Another challenge is the simultaneous transmission of NR V2X and LTE V2X. When </w:t>
      </w:r>
      <w:r>
        <w:t>LTE V2X and NR V2X transmission opportunity overlap in time</w:t>
      </w:r>
      <w:r>
        <w:rPr>
          <w:rFonts w:hint="eastAsia" w:eastAsia="宋体"/>
          <w:lang w:val="en-US" w:eastAsia="zh-CN"/>
        </w:rPr>
        <w:t>, the UE may not be able to transmit on both NR V2X and LTE V2X due to the UE limited Tx chain. Secondly, there may be large power imbalance between NR V2X and LTE V2X transmissions, i.e. the transmission power of one link is much larger than the other link. From the reception UE</w:t>
      </w:r>
      <w:r>
        <w:rPr>
          <w:rFonts w:hint="default" w:eastAsia="宋体"/>
          <w:lang w:val="en-US" w:eastAsia="zh-CN"/>
        </w:rPr>
        <w:t>’</w:t>
      </w:r>
      <w:r>
        <w:rPr>
          <w:rFonts w:hint="eastAsia" w:eastAsia="宋体"/>
          <w:lang w:val="en-US" w:eastAsia="zh-CN"/>
        </w:rPr>
        <w:t>s perspective, the emission originated from the link with large transmission power would cause interference to the link with small transmission power. Thirdly, the total transmission power of mutiple Tx chains shall not exceed the UE</w:t>
      </w:r>
      <w:r>
        <w:rPr>
          <w:rFonts w:hint="default" w:eastAsia="宋体"/>
          <w:lang w:val="en-US" w:eastAsia="zh-CN"/>
        </w:rPr>
        <w:t>’</w:t>
      </w:r>
      <w:r>
        <w:rPr>
          <w:rFonts w:hint="eastAsia" w:eastAsia="宋体"/>
          <w:lang w:val="en-US" w:eastAsia="zh-CN"/>
        </w:rPr>
        <w:t xml:space="preserve">s total configured maximum output power </w:t>
      </w:r>
      <w:r>
        <w:rPr>
          <w:rFonts w:ascii="Calibri" w:hAnsi="Calibri"/>
          <w:szCs w:val="22"/>
        </w:rPr>
        <w:t>(P</w:t>
      </w:r>
      <w:r>
        <w:rPr>
          <w:rFonts w:ascii="Calibri" w:hAnsi="Calibri"/>
          <w:szCs w:val="22"/>
          <w:vertAlign w:val="subscript"/>
        </w:rPr>
        <w:t>CMAX</w:t>
      </w:r>
      <w:r>
        <w:rPr>
          <w:rFonts w:ascii="Calibri" w:hAnsi="Calibri"/>
          <w:szCs w:val="22"/>
        </w:rPr>
        <w:t>)</w:t>
      </w:r>
      <w:r>
        <w:rPr>
          <w:rFonts w:hint="eastAsia" w:ascii="Calibri" w:hAnsi="Calibri" w:eastAsia="宋体"/>
          <w:szCs w:val="22"/>
          <w:lang w:val="en-US" w:eastAsia="zh-CN"/>
        </w:rPr>
        <w:t xml:space="preserve">. </w:t>
      </w:r>
    </w:p>
    <w:p>
      <w:pPr>
        <w:jc w:val="both"/>
        <w:rPr>
          <w:rFonts w:hint="default" w:ascii="Times New Roman" w:hAnsi="Times New Roman" w:cs="Times New Roman"/>
          <w:b w:val="0"/>
          <w:bCs w:val="0"/>
          <w:lang w:val="en-US" w:eastAsia="zh-CN"/>
        </w:rPr>
      </w:pPr>
      <w:r>
        <w:rPr>
          <w:rFonts w:hint="default" w:ascii="Times New Roman" w:hAnsi="Times New Roman" w:eastAsia="宋体" w:cs="Times New Roman"/>
          <w:b/>
          <w:bCs/>
          <w:szCs w:val="22"/>
          <w:lang w:val="en-US" w:eastAsia="zh-CN"/>
        </w:rPr>
        <w:t xml:space="preserve">Observation 2: The following issues shall be considered in the scenario of simultaneous transmission of NR V2X and LTE V2X: 1) UE limited Tx chain; 2) power imbalance between NR V2X and LTE V2X; 3) limited UE output power. </w:t>
      </w:r>
    </w:p>
    <w:p>
      <w:pPr>
        <w:pStyle w:val="3"/>
        <w:rPr>
          <w:rFonts w:hint="eastAsia"/>
          <w:lang w:val="en-US" w:eastAsia="zh-CN"/>
        </w:rPr>
      </w:pPr>
      <w:r>
        <w:rPr>
          <w:rFonts w:hint="eastAsia"/>
          <w:lang w:val="en-US" w:eastAsia="zh-CN"/>
        </w:rPr>
        <w:t>Prioritization between NR V2X and LTE V2X</w:t>
      </w:r>
    </w:p>
    <w:p>
      <w:pPr>
        <w:rPr>
          <w:rFonts w:hint="eastAsia"/>
          <w:lang w:val="en-US" w:eastAsia="zh-CN"/>
        </w:rPr>
      </w:pPr>
      <w:r>
        <w:rPr>
          <w:rFonts w:hint="eastAsia"/>
          <w:lang w:val="en-US" w:eastAsia="zh-CN"/>
        </w:rPr>
        <w:t xml:space="preserve">As analyzed above, when there is IDC (in-device coexistence) issue in vehicle UE, the UE could try to handle the IDC issue by itself. For example, when NR V2X transmission is overlapped at the same time with LTE V2X transmission, and the UE is not able to transmit both on NR V2X and LTE V2X, or the sum of transmission power exceeds the configure maximum output power, the UE could determine to drop NR V2X or LTE V2X transmission, or adjust the transmission power of NR V2X or LTE V2X transmission based on the priority of the NR V2X and LTE V2X transmission. As analyzed above, the prioritization between transmission/reception of NR V2X and LTE V2X should be investigated and defined. </w:t>
      </w:r>
    </w:p>
    <w:p>
      <w:pPr>
        <w:rPr>
          <w:rFonts w:hint="eastAsia"/>
          <w:lang w:val="en-US" w:eastAsia="zh-CN"/>
        </w:rPr>
      </w:pPr>
      <w:r>
        <w:rPr>
          <w:rFonts w:hint="eastAsia"/>
          <w:lang w:val="en-US" w:eastAsia="zh-CN"/>
        </w:rPr>
        <w:t>In D2D and R14/R15 V2X, the PPPP of corresponding data packet is delivered from upper layer to indicate the priority of the data packet. NR V2X</w:t>
      </w:r>
      <w:r>
        <w:rPr>
          <w:rFonts w:hint="eastAsia" w:eastAsia="宋体"/>
          <w:lang w:val="en-US" w:eastAsia="zh-CN"/>
        </w:rPr>
        <w:t xml:space="preserve"> service</w:t>
      </w:r>
      <w:r>
        <w:rPr>
          <w:rFonts w:hint="eastAsia"/>
          <w:lang w:val="en-US" w:eastAsia="zh-CN"/>
        </w:rPr>
        <w:t xml:space="preserve"> is targeted to advanced V2X use cases with </w:t>
      </w:r>
      <w:r>
        <w:rPr>
          <w:rFonts w:hint="eastAsia" w:eastAsiaTheme="minorEastAsia"/>
          <w:bCs/>
          <w:lang w:eastAsia="zh-CN"/>
        </w:rPr>
        <w:t>h</w:t>
      </w:r>
      <w:r>
        <w:rPr>
          <w:rFonts w:eastAsiaTheme="minorEastAsia"/>
          <w:bCs/>
          <w:lang w:eastAsia="zh-CN"/>
        </w:rPr>
        <w:t>igh data rate</w:t>
      </w:r>
      <w:r>
        <w:rPr>
          <w:rFonts w:hint="eastAsia" w:eastAsiaTheme="minorEastAsia"/>
          <w:bCs/>
          <w:lang w:eastAsia="zh-CN"/>
        </w:rPr>
        <w:t>, h</w:t>
      </w:r>
      <w:r>
        <w:rPr>
          <w:rFonts w:eastAsiaTheme="minorEastAsia"/>
          <w:bCs/>
          <w:lang w:eastAsia="zh-CN"/>
        </w:rPr>
        <w:t xml:space="preserve">igh </w:t>
      </w:r>
      <w:r>
        <w:rPr>
          <w:rFonts w:hint="eastAsia" w:eastAsiaTheme="minorEastAsia"/>
          <w:bCs/>
          <w:lang w:eastAsia="zh-CN"/>
        </w:rPr>
        <w:t>r</w:t>
      </w:r>
      <w:r>
        <w:rPr>
          <w:rFonts w:eastAsiaTheme="minorEastAsia"/>
          <w:bCs/>
          <w:lang w:eastAsia="zh-CN"/>
        </w:rPr>
        <w:t>eliability</w:t>
      </w:r>
      <w:r>
        <w:rPr>
          <w:rFonts w:hint="eastAsia" w:eastAsiaTheme="minorEastAsia"/>
          <w:bCs/>
          <w:lang w:eastAsia="zh-CN"/>
        </w:rPr>
        <w:t xml:space="preserve"> and m</w:t>
      </w:r>
      <w:r>
        <w:rPr>
          <w:rFonts w:eastAsiaTheme="minorEastAsia"/>
          <w:bCs/>
          <w:lang w:eastAsia="zh-CN"/>
        </w:rPr>
        <w:t>edium to low latency</w:t>
      </w:r>
      <w:r>
        <w:rPr>
          <w:rFonts w:hint="eastAsia" w:eastAsiaTheme="minorEastAsia"/>
          <w:bCs/>
          <w:lang w:eastAsia="zh-CN"/>
        </w:rPr>
        <w:t>.</w:t>
      </w:r>
      <w:r>
        <w:rPr>
          <w:rFonts w:hint="eastAsia" w:eastAsiaTheme="minorEastAsia"/>
          <w:bCs/>
          <w:lang w:val="en-US" w:eastAsia="zh-CN"/>
        </w:rPr>
        <w:t xml:space="preserve"> It is also under discussion in SA2 whether Uu-like QoS mechanism is used in NR sidelink. If different QoS mechanisms are used between NR V2X and LTE V2X, the mapping between the PPPP and priority indication in QoS parameter in NR V2X shall be investigated, in order to enable UE for prioritization between NR V2X and LTE V2X. </w:t>
      </w:r>
    </w:p>
    <w:p>
      <w:pPr>
        <w:numPr>
          <w:ilvl w:val="0"/>
          <w:numId w:val="0"/>
        </w:numPr>
        <w:ind w:firstLine="0" w:firstLineChars="0"/>
        <w:rPr>
          <w:rFonts w:hint="eastAsia"/>
          <w:b/>
          <w:bCs/>
          <w:lang w:val="en-US" w:eastAsia="zh-CN"/>
        </w:rPr>
      </w:pPr>
      <w:r>
        <w:rPr>
          <w:rFonts w:hint="eastAsia"/>
          <w:b/>
          <w:bCs/>
          <w:lang w:val="en-US" w:eastAsia="zh-CN"/>
        </w:rPr>
        <w:t xml:space="preserve">Proposal 1: When there is IDC (in-device coexistence) issue in vehicle UE, the UE shall determine the prioritization between NR V2X and LTE V2X to handle the IDC issue. </w:t>
      </w:r>
    </w:p>
    <w:p>
      <w:pPr>
        <w:numPr>
          <w:ilvl w:val="0"/>
          <w:numId w:val="0"/>
        </w:numPr>
        <w:ind w:firstLine="0" w:firstLineChars="0"/>
        <w:rPr>
          <w:rFonts w:hint="eastAsia"/>
          <w:b/>
          <w:bCs w:val="0"/>
          <w:lang w:val="en-US" w:eastAsia="zh-CN"/>
        </w:rPr>
      </w:pPr>
      <w:r>
        <w:rPr>
          <w:rFonts w:hint="eastAsia" w:eastAsiaTheme="minorEastAsia"/>
          <w:b/>
          <w:bCs w:val="0"/>
          <w:lang w:val="en-US" w:eastAsia="zh-CN"/>
        </w:rPr>
        <w:t xml:space="preserve">Proposal 2: If different QoS mechanism is used between NR V2X and LTE V2X, the mapping between the PPPP and QoS parameter in NR V2X shall be investigated. </w:t>
      </w:r>
    </w:p>
    <w:p>
      <w:pPr>
        <w:pStyle w:val="3"/>
        <w:rPr>
          <w:rFonts w:hint="eastAsia"/>
          <w:lang w:val="en-US" w:eastAsia="zh-CN"/>
        </w:rPr>
      </w:pPr>
      <w:r>
        <w:rPr>
          <w:rFonts w:hint="eastAsia"/>
          <w:lang w:val="en-US" w:eastAsia="zh-CN"/>
        </w:rPr>
        <w:t xml:space="preserve">Potential solutions </w:t>
      </w:r>
    </w:p>
    <w:p>
      <w:pPr>
        <w:rPr>
          <w:rFonts w:hint="eastAsia"/>
          <w:lang w:val="en-US" w:eastAsia="zh-CN"/>
        </w:rPr>
      </w:pPr>
      <w:r>
        <w:rPr>
          <w:rFonts w:hint="eastAsia"/>
          <w:lang w:val="en-US" w:eastAsia="zh-CN"/>
        </w:rPr>
        <w:t>As agreed in RAN1#94 [3], both scenario of LTE sidelink and NR sidelink have/don</w:t>
      </w:r>
      <w:r>
        <w:rPr>
          <w:rFonts w:hint="default"/>
          <w:lang w:val="en-US" w:eastAsia="zh-CN"/>
        </w:rPr>
        <w:t>’</w:t>
      </w:r>
      <w:r>
        <w:rPr>
          <w:rFonts w:hint="eastAsia"/>
          <w:lang w:val="en-US" w:eastAsia="zh-CN"/>
        </w:rPr>
        <w:t xml:space="preserve">t have coordinated procedures shall be considered. And TDM/FDM shall be considered as potential solutions for the coexistence issue. In our view, if IDC issue occurs in vehicle UE, the UE shall try to handle the IDC issue by itself based on the prioritization between NR V2X and LTE V2X, e.g. drop/skip the transmission/reception on one link or adjust the  transmission power of the transmission with lower priority. However, there may be some cases that the UE cannot handle the IDC issue by itself, then the coordination procedure with/without network between NR V2X and LTE V2X shall be investigated to enable the TDM or FDM solution between LTE V2X and NR V2X. </w:t>
      </w:r>
    </w:p>
    <w:p>
      <w:pPr>
        <w:rPr>
          <w:rFonts w:hint="eastAsia"/>
          <w:b/>
          <w:bCs/>
          <w:lang w:val="en-US" w:eastAsia="zh-CN"/>
        </w:rPr>
      </w:pPr>
      <w:r>
        <w:rPr>
          <w:rFonts w:hint="eastAsia"/>
          <w:b/>
          <w:bCs/>
          <w:lang w:val="en-US" w:eastAsia="zh-CN"/>
        </w:rPr>
        <w:t>Proposal 3: If the UE cannot handle the IDC issue by itself, then the coordination procedure with/without network between NR V2X and LTE V2X shall be investigated to enable the TDM or FDM solution between LTE V2X and NR V2X.</w:t>
      </w:r>
    </w:p>
    <w:p>
      <w:pPr>
        <w:rPr>
          <w:rFonts w:hint="eastAsia"/>
          <w:lang w:val="en-US" w:eastAsia="zh-CN"/>
        </w:rPr>
      </w:pPr>
      <w:r>
        <w:rPr>
          <w:rFonts w:hint="eastAsia"/>
          <w:lang w:val="en-US" w:eastAsia="zh-CN"/>
        </w:rPr>
        <w:t xml:space="preserve">When the vehicle UE suffering from IDC issue is in coverage, the UE could inform the IDC issue to the network and some assistance information (e.g. sidelink resource configuration of another link) could be reported to the eNB/gNB to assist the resource allocation in order to resolve the IDC issue in the vehicle UE. Moreover, considering that out-of-coverage scenario should also be supported, the coordination between NR V2X and LTE V2X without network should also be investigated. In this scenario, coordination between the peer vehicle UEs via PC5 interface could be performed to resolve the IDC issue. </w:t>
      </w:r>
    </w:p>
    <w:p>
      <w:pPr>
        <w:rPr>
          <w:rFonts w:hint="eastAsia"/>
          <w:b/>
          <w:bCs/>
          <w:lang w:val="en-US" w:eastAsia="zh-CN"/>
        </w:rPr>
      </w:pPr>
      <w:r>
        <w:rPr>
          <w:rFonts w:hint="eastAsia"/>
          <w:b/>
          <w:bCs/>
          <w:lang w:val="en-US" w:eastAsia="zh-CN"/>
        </w:rPr>
        <w:t>Proposal 4: some assistance information (e.g. sidelink resource configuration of another link) could be reported by incoverage UE to network in order to resolve the IDC issue. Alternatively, coordination between the peer vehicle UEs via PC5 interface could be performed to resolve the IDC issue.</w:t>
      </w:r>
    </w:p>
    <w:p>
      <w:pPr>
        <w:pStyle w:val="2"/>
        <w:spacing w:before="180"/>
        <w:rPr>
          <w:sz w:val="32"/>
          <w:szCs w:val="32"/>
          <w:lang w:val="en-US"/>
        </w:rPr>
      </w:pPr>
      <w:r>
        <w:rPr>
          <w:rFonts w:hint="eastAsia"/>
          <w:sz w:val="32"/>
          <w:szCs w:val="32"/>
          <w:lang w:val="en-US"/>
        </w:rPr>
        <w:t>Conclusion</w:t>
      </w:r>
    </w:p>
    <w:p>
      <w:pPr>
        <w:rPr>
          <w:rFonts w:hint="eastAsia"/>
          <w:lang w:val="en-US" w:eastAsia="zh-CN"/>
        </w:rPr>
      </w:pPr>
      <w:r>
        <w:rPr>
          <w:rFonts w:hint="eastAsia"/>
          <w:lang w:val="en-US" w:eastAsia="zh-CN"/>
        </w:rPr>
        <w:t xml:space="preserve">In this contribution, the challenges of in-device coexistence of NR V2X and LTE V2X was discussed firstly. And then some initial considerations and potential solutions to resolve the IDC issue were discussed. And we have the following observations and proposals: </w:t>
      </w:r>
    </w:p>
    <w:p>
      <w:pPr>
        <w:numPr>
          <w:ilvl w:val="0"/>
          <w:numId w:val="0"/>
        </w:numPr>
        <w:ind w:firstLine="0" w:firstLineChars="0"/>
        <w:rPr>
          <w:rFonts w:hint="eastAsia"/>
          <w:lang w:val="en-US" w:eastAsia="zh-CN"/>
        </w:rPr>
      </w:pPr>
      <w:r>
        <w:rPr>
          <w:rFonts w:hint="eastAsia"/>
          <w:b/>
          <w:bCs/>
          <w:lang w:val="en-US" w:eastAsia="zh-CN"/>
        </w:rPr>
        <w:t>Observation 1：H</w:t>
      </w:r>
      <w:r>
        <w:rPr>
          <w:rFonts w:hint="eastAsia" w:eastAsia="宋体"/>
          <w:b/>
          <w:bCs/>
          <w:lang w:val="en-US" w:eastAsia="zh-CN"/>
        </w:rPr>
        <w:t xml:space="preserve">alf duplex restriction exists in the scenario of coexistence of Tx/Rx of NR V2X and LTE V2X in the same UE in adjacent channels.  </w:t>
      </w:r>
    </w:p>
    <w:p>
      <w:pPr>
        <w:jc w:val="both"/>
        <w:rPr>
          <w:rFonts w:hint="default" w:ascii="Times New Roman" w:hAnsi="Times New Roman" w:cs="Times New Roman"/>
          <w:b w:val="0"/>
          <w:bCs w:val="0"/>
          <w:lang w:val="en-US" w:eastAsia="zh-CN"/>
        </w:rPr>
      </w:pPr>
      <w:r>
        <w:rPr>
          <w:rFonts w:hint="default" w:ascii="Times New Roman" w:hAnsi="Times New Roman" w:eastAsia="宋体" w:cs="Times New Roman"/>
          <w:b/>
          <w:bCs/>
          <w:szCs w:val="22"/>
          <w:lang w:val="en-US" w:eastAsia="zh-CN"/>
        </w:rPr>
        <w:t xml:space="preserve">Observation 2: The following issues shall be considered in the scenario of simultaneous transmission of NR V2X and LTE V2X: 1) UE limited Tx chain; 2) power imbalance between NR V2X and LTE V2X; 3) limited UE output power. </w:t>
      </w:r>
    </w:p>
    <w:p>
      <w:pPr>
        <w:numPr>
          <w:ilvl w:val="0"/>
          <w:numId w:val="0"/>
        </w:numPr>
        <w:ind w:firstLine="0" w:firstLineChars="0"/>
        <w:rPr>
          <w:rFonts w:hint="eastAsia"/>
          <w:b/>
          <w:bCs/>
          <w:lang w:val="en-US" w:eastAsia="zh-CN"/>
        </w:rPr>
      </w:pPr>
      <w:r>
        <w:rPr>
          <w:rFonts w:hint="eastAsia"/>
          <w:b/>
          <w:bCs/>
          <w:lang w:val="en-US" w:eastAsia="zh-CN"/>
        </w:rPr>
        <w:t xml:space="preserve">Proposal 1: When there is IDC (in-device coexistence) issue in vehicle UE, the UE shall determine the prioritization between NR V2X and LTE V2X to handle the IDC issue. </w:t>
      </w:r>
    </w:p>
    <w:p>
      <w:pPr>
        <w:numPr>
          <w:ilvl w:val="0"/>
          <w:numId w:val="0"/>
        </w:numPr>
        <w:ind w:firstLine="0" w:firstLineChars="0"/>
        <w:rPr>
          <w:rFonts w:hint="eastAsia"/>
          <w:b/>
          <w:bCs w:val="0"/>
          <w:lang w:val="en-US" w:eastAsia="zh-CN"/>
        </w:rPr>
      </w:pPr>
      <w:r>
        <w:rPr>
          <w:rFonts w:hint="eastAsia" w:eastAsiaTheme="minorEastAsia"/>
          <w:b/>
          <w:bCs w:val="0"/>
          <w:lang w:val="en-US" w:eastAsia="zh-CN"/>
        </w:rPr>
        <w:t xml:space="preserve">Proposal 2: If different QoS mechanism is used between NR V2X and LTE V2X, the mapping between the PPPP and QoS parameter in NR V2X shall be investigated. </w:t>
      </w:r>
    </w:p>
    <w:p>
      <w:pPr>
        <w:rPr>
          <w:rFonts w:hint="eastAsia"/>
          <w:b/>
          <w:bCs/>
          <w:lang w:val="en-US" w:eastAsia="zh-CN"/>
        </w:rPr>
      </w:pPr>
      <w:r>
        <w:rPr>
          <w:rFonts w:hint="eastAsia"/>
          <w:b/>
          <w:bCs/>
          <w:lang w:val="en-US" w:eastAsia="zh-CN"/>
        </w:rPr>
        <w:t>Proposal 3: If the UE cannot handle the IDC issue by itself, then the coordination procedure with/without network between NR V2X and LTE V2X shall be investigated to enable the TDM or FDM solution between LTE V2X and NR V2X.</w:t>
      </w:r>
    </w:p>
    <w:p>
      <w:pPr>
        <w:rPr>
          <w:rFonts w:hint="eastAsia"/>
          <w:b/>
          <w:bCs/>
          <w:lang w:val="en-US" w:eastAsia="zh-CN"/>
        </w:rPr>
      </w:pPr>
      <w:bookmarkStart w:id="0" w:name="_GoBack"/>
      <w:bookmarkEnd w:id="0"/>
      <w:r>
        <w:rPr>
          <w:rFonts w:hint="eastAsia"/>
          <w:b/>
          <w:bCs/>
          <w:lang w:val="en-US" w:eastAsia="zh-CN"/>
        </w:rPr>
        <w:t>Proposal 4: some assistance information (e.g. sidelink resource configuration of another link) could be reported by incoverage UE to network in order to resolve the IDC issue. Alternatively, coordination between the peer vehicle UEs via PC5 interface could be performed to resolve the IDC issue.</w:t>
      </w:r>
    </w:p>
    <w:p>
      <w:pPr>
        <w:pStyle w:val="2"/>
        <w:spacing w:before="180"/>
        <w:rPr>
          <w:sz w:val="32"/>
          <w:szCs w:val="32"/>
          <w:lang w:val="en-US"/>
        </w:rPr>
      </w:pPr>
      <w:r>
        <w:rPr>
          <w:rFonts w:hint="eastAsia"/>
          <w:sz w:val="32"/>
          <w:szCs w:val="32"/>
          <w:lang w:val="en-US"/>
        </w:rPr>
        <w:t>Reference</w:t>
      </w:r>
    </w:p>
    <w:p>
      <w:pPr>
        <w:widowControl w:val="0"/>
        <w:numPr>
          <w:ilvl w:val="0"/>
          <w:numId w:val="8"/>
        </w:numPr>
        <w:overflowPunct/>
        <w:autoSpaceDE/>
        <w:autoSpaceDN/>
        <w:adjustRightInd/>
        <w:snapToGrid w:val="0"/>
        <w:spacing w:before="60" w:afterLines="50"/>
        <w:textAlignment w:val="auto"/>
        <w:rPr>
          <w:lang w:val="en-US" w:eastAsia="ja-JP"/>
        </w:rPr>
      </w:pPr>
      <w:r>
        <w:fldChar w:fldCharType="begin"/>
      </w:r>
      <w:r>
        <w:instrText xml:space="preserve"> HYPERLINK "http://www.3gpp.org/ftp/tsg_ran/TSG_RAN/TSGR_80/Docs/RP-181480.zip" </w:instrText>
      </w:r>
      <w:r>
        <w:fldChar w:fldCharType="separate"/>
      </w:r>
      <w:r>
        <w:rPr>
          <w:rFonts w:hint="eastAsia"/>
        </w:rPr>
        <w:t>RP-181480</w:t>
      </w:r>
      <w:r>
        <w:rPr>
          <w:rFonts w:hint="eastAsia"/>
        </w:rPr>
        <w:fldChar w:fldCharType="end"/>
      </w:r>
      <w:r>
        <w:rPr>
          <w:rFonts w:hint="eastAsia"/>
          <w:lang w:val="en-US" w:eastAsia="zh-CN"/>
        </w:rPr>
        <w:t xml:space="preserve">, </w:t>
      </w:r>
      <w:r>
        <w:rPr>
          <w:rFonts w:hint="eastAsia"/>
          <w:lang w:eastAsia="zh-CN"/>
        </w:rPr>
        <w:t>New SID: Study on NR V2X</w:t>
      </w:r>
      <w:r>
        <w:rPr>
          <w:rFonts w:hint="eastAsia"/>
        </w:rPr>
        <w:t>.</w:t>
      </w:r>
      <w:r>
        <w:rPr>
          <w:rFonts w:hint="eastAsia"/>
          <w:lang w:val="en-US" w:eastAsia="zh-CN"/>
        </w:rPr>
        <w:t xml:space="preserve"> </w:t>
      </w:r>
      <w:r>
        <w:rPr>
          <w:rFonts w:hint="eastAsia"/>
        </w:rPr>
        <w:t xml:space="preserve">3GPP TSG RAN </w:t>
      </w:r>
      <w:r>
        <w:rPr>
          <w:rFonts w:hint="eastAsia"/>
          <w:lang w:val="en-US" w:eastAsia="zh-CN"/>
        </w:rPr>
        <w:t>#80</w:t>
      </w:r>
      <w:r>
        <w:rPr>
          <w:rFonts w:hint="eastAsia"/>
        </w:rPr>
        <w:t xml:space="preserve"> Meeting</w:t>
      </w:r>
      <w:r>
        <w:rPr>
          <w:rFonts w:hint="eastAsia"/>
          <w:lang w:val="en-US" w:eastAsia="zh-CN"/>
        </w:rPr>
        <w:t>,</w:t>
      </w:r>
      <w:r>
        <w:rPr>
          <w:rFonts w:hint="eastAsia"/>
        </w:rPr>
        <w:t xml:space="preserve"> June 11th -14th, 2018.</w:t>
      </w:r>
    </w:p>
    <w:p>
      <w:pPr>
        <w:widowControl w:val="0"/>
        <w:numPr>
          <w:ilvl w:val="0"/>
          <w:numId w:val="8"/>
        </w:numPr>
        <w:overflowPunct/>
        <w:autoSpaceDE/>
        <w:autoSpaceDN/>
        <w:adjustRightInd/>
        <w:snapToGrid w:val="0"/>
        <w:spacing w:before="60" w:afterLines="50"/>
        <w:textAlignment w:val="auto"/>
        <w:rPr>
          <w:lang w:val="en-US" w:eastAsia="ja-JP"/>
        </w:rPr>
      </w:pPr>
      <w:r>
        <w:rPr>
          <w:rFonts w:hint="eastAsia"/>
          <w:lang w:val="en-US" w:eastAsia="zh-CN"/>
        </w:rPr>
        <w:t xml:space="preserve">22.886-g00, </w:t>
      </w:r>
      <w:r>
        <w:t>Study on enhanc</w:t>
      </w:r>
      <w:r>
        <w:rPr>
          <w:rFonts w:hint="eastAsia"/>
        </w:rPr>
        <w:t>ement</w:t>
      </w:r>
      <w:r>
        <w:t xml:space="preserve"> of 3GPP </w:t>
      </w:r>
      <w:r>
        <w:rPr>
          <w:rFonts w:hint="eastAsia"/>
        </w:rPr>
        <w:t>S</w:t>
      </w:r>
      <w:r>
        <w:t xml:space="preserve">upport for 5G V2X </w:t>
      </w:r>
      <w:r>
        <w:rPr>
          <w:rFonts w:hint="eastAsia"/>
        </w:rPr>
        <w:t>S</w:t>
      </w:r>
      <w:r>
        <w:t>ervice</w:t>
      </w:r>
      <w:r>
        <w:rPr>
          <w:rFonts w:hint="eastAsia"/>
          <w:lang w:val="en-US" w:eastAsia="zh-CN"/>
        </w:rPr>
        <w:t>s, 3GPP.</w:t>
      </w:r>
    </w:p>
    <w:p>
      <w:pPr>
        <w:widowControl w:val="0"/>
        <w:numPr>
          <w:ilvl w:val="0"/>
          <w:numId w:val="8"/>
        </w:numPr>
        <w:overflowPunct/>
        <w:autoSpaceDE/>
        <w:autoSpaceDN/>
        <w:adjustRightInd/>
        <w:snapToGrid w:val="0"/>
        <w:spacing w:before="60" w:afterLines="50"/>
        <w:textAlignment w:val="auto"/>
        <w:rPr>
          <w:lang w:val="en-US" w:eastAsia="ja-JP"/>
        </w:rPr>
      </w:pPr>
      <w:r>
        <w:rPr>
          <w:rFonts w:hint="eastAsia"/>
          <w:lang w:val="en-US" w:eastAsia="zh-CN"/>
        </w:rPr>
        <w:t>RAN1#94 meeting report</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KaiTi_GB2312">
    <w:altName w:val="微软雅黑"/>
    <w:panose1 w:val="02010609060101010101"/>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10002FF" w:usb1="4000FCFF" w:usb2="00000009" w:usb3="00000000" w:csb0="6000019F" w:csb1="DFD70000"/>
  </w:font>
  <w:font w:name="Calibri Light">
    <w:altName w:val="Calibri"/>
    <w:panose1 w:val="020F0302020204030204"/>
    <w:charset w:val="00"/>
    <w:family w:val="swiss"/>
    <w:pitch w:val="default"/>
    <w:sig w:usb0="00000000" w:usb1="00000000" w:usb2="00000009" w:usb3="00000000" w:csb0="000001FF" w:csb1="00000000"/>
  </w:font>
  <w:font w:name="Calibre Regular">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79A"/>
    <w:multiLevelType w:val="multilevel"/>
    <w:tmpl w:val="019D079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FB2018A"/>
    <w:multiLevelType w:val="multilevel"/>
    <w:tmpl w:val="2FB201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A7ACF33"/>
    <w:multiLevelType w:val="multilevel"/>
    <w:tmpl w:val="5A7ACF33"/>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4">
    <w:nsid w:val="5BAA0BA6"/>
    <w:multiLevelType w:val="singleLevel"/>
    <w:tmpl w:val="5BAA0BA6"/>
    <w:lvl w:ilvl="0" w:tentative="0">
      <w:start w:val="1"/>
      <w:numFmt w:val="bullet"/>
      <w:lvlText w:val=""/>
      <w:lvlJc w:val="left"/>
      <w:pPr>
        <w:ind w:left="420" w:leftChars="0" w:hanging="420" w:firstLineChars="0"/>
      </w:pPr>
      <w:rPr>
        <w:rFonts w:hint="default" w:ascii="Wingdings" w:hAnsi="Wingdings"/>
      </w:rPr>
    </w:lvl>
  </w:abstractNum>
  <w:abstractNum w:abstractNumId="5">
    <w:nsid w:val="5BAA0BB9"/>
    <w:multiLevelType w:val="singleLevel"/>
    <w:tmpl w:val="5BAA0BB9"/>
    <w:lvl w:ilvl="0" w:tentative="0">
      <w:start w:val="1"/>
      <w:numFmt w:val="bullet"/>
      <w:lvlText w:val=""/>
      <w:lvlJc w:val="left"/>
      <w:pPr>
        <w:ind w:left="420" w:leftChars="0" w:hanging="420" w:firstLineChars="0"/>
      </w:pPr>
      <w:rPr>
        <w:rFonts w:hint="default" w:ascii="Wingdings" w:hAnsi="Wingdings"/>
      </w:rPr>
    </w:lvl>
  </w:abstractNum>
  <w:abstractNum w:abstractNumId="6">
    <w:nsid w:val="6C6B05E8"/>
    <w:multiLevelType w:val="multilevel"/>
    <w:tmpl w:val="6C6B05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A957A9D"/>
    <w:multiLevelType w:val="multilevel"/>
    <w:tmpl w:val="7A957A9D"/>
    <w:lvl w:ilvl="0" w:tentative="0">
      <w:start w:val="0"/>
      <w:numFmt w:val="bullet"/>
      <w:lvlText w:val="-"/>
      <w:lvlJc w:val="left"/>
      <w:pPr>
        <w:ind w:left="1440" w:hanging="360"/>
      </w:pPr>
      <w:rPr>
        <w:rFonts w:hint="default" w:ascii="Times New Roman" w:hAnsi="Times New Roman" w:eastAsia="Times New Roman"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num w:numId="1">
    <w:abstractNumId w:val="3"/>
  </w:num>
  <w:num w:numId="2">
    <w:abstractNumId w:val="0"/>
  </w:num>
  <w:num w:numId="3">
    <w:abstractNumId w:val="7"/>
  </w:num>
  <w:num w:numId="4">
    <w:abstractNumId w:val="2"/>
  </w:num>
  <w:num w:numId="5">
    <w:abstractNumId w:val="6"/>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7CD"/>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11E"/>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D08"/>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962"/>
    <w:rsid w:val="00106D97"/>
    <w:rsid w:val="0010740F"/>
    <w:rsid w:val="00107903"/>
    <w:rsid w:val="001105EB"/>
    <w:rsid w:val="00110683"/>
    <w:rsid w:val="00110855"/>
    <w:rsid w:val="00110A45"/>
    <w:rsid w:val="00110DE7"/>
    <w:rsid w:val="00110DFA"/>
    <w:rsid w:val="001114EE"/>
    <w:rsid w:val="001119DD"/>
    <w:rsid w:val="00111D32"/>
    <w:rsid w:val="00111D40"/>
    <w:rsid w:val="00112199"/>
    <w:rsid w:val="00112218"/>
    <w:rsid w:val="001128AA"/>
    <w:rsid w:val="0011299E"/>
    <w:rsid w:val="001129CC"/>
    <w:rsid w:val="00112B5E"/>
    <w:rsid w:val="00112C74"/>
    <w:rsid w:val="00112D47"/>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1820"/>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332"/>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1BE"/>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0E5"/>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54D"/>
    <w:rsid w:val="0029780A"/>
    <w:rsid w:val="00297A5F"/>
    <w:rsid w:val="002A04A3"/>
    <w:rsid w:val="002A119D"/>
    <w:rsid w:val="002A11E9"/>
    <w:rsid w:val="002A1368"/>
    <w:rsid w:val="002A15B6"/>
    <w:rsid w:val="002A1874"/>
    <w:rsid w:val="002A1D93"/>
    <w:rsid w:val="002A222D"/>
    <w:rsid w:val="002A2690"/>
    <w:rsid w:val="002A2A26"/>
    <w:rsid w:val="002A2AE2"/>
    <w:rsid w:val="002A3324"/>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CAB"/>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A88"/>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3A0"/>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6CA3"/>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ACD"/>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4ED0"/>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7B"/>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975D2"/>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5FF"/>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3E"/>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0FE8"/>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03D"/>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603"/>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27EB2"/>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DB6"/>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043"/>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13"/>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23C"/>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718"/>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7BD"/>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9F"/>
    <w:rsid w:val="00D271CE"/>
    <w:rsid w:val="00D27741"/>
    <w:rsid w:val="00D27D42"/>
    <w:rsid w:val="00D301C7"/>
    <w:rsid w:val="00D3204D"/>
    <w:rsid w:val="00D321AE"/>
    <w:rsid w:val="00D3237E"/>
    <w:rsid w:val="00D324C6"/>
    <w:rsid w:val="00D32BB9"/>
    <w:rsid w:val="00D32CB8"/>
    <w:rsid w:val="00D32D14"/>
    <w:rsid w:val="00D3340C"/>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BA2"/>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33E"/>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6B6"/>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4D"/>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2A"/>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9014C"/>
    <w:rsid w:val="01AE1370"/>
    <w:rsid w:val="01B7118A"/>
    <w:rsid w:val="01E15D33"/>
    <w:rsid w:val="01F43F46"/>
    <w:rsid w:val="02833D91"/>
    <w:rsid w:val="02E01B84"/>
    <w:rsid w:val="02E36AC9"/>
    <w:rsid w:val="036A1647"/>
    <w:rsid w:val="04705783"/>
    <w:rsid w:val="04CD5B62"/>
    <w:rsid w:val="04FC04D9"/>
    <w:rsid w:val="05BA29A4"/>
    <w:rsid w:val="05C36270"/>
    <w:rsid w:val="0681071A"/>
    <w:rsid w:val="077F68C9"/>
    <w:rsid w:val="08C43024"/>
    <w:rsid w:val="09632052"/>
    <w:rsid w:val="097A492E"/>
    <w:rsid w:val="098941E6"/>
    <w:rsid w:val="09947809"/>
    <w:rsid w:val="09F756A6"/>
    <w:rsid w:val="0A5A0CCD"/>
    <w:rsid w:val="0AA2508B"/>
    <w:rsid w:val="0AB83EEF"/>
    <w:rsid w:val="0B94708B"/>
    <w:rsid w:val="0BA51B9A"/>
    <w:rsid w:val="0BC7696F"/>
    <w:rsid w:val="0BFD0200"/>
    <w:rsid w:val="0C617A92"/>
    <w:rsid w:val="0CCC39BF"/>
    <w:rsid w:val="0DDB2AAD"/>
    <w:rsid w:val="0E423A81"/>
    <w:rsid w:val="0ECA2CE2"/>
    <w:rsid w:val="0F2A1437"/>
    <w:rsid w:val="0FE353A5"/>
    <w:rsid w:val="100305FD"/>
    <w:rsid w:val="105D13C1"/>
    <w:rsid w:val="10A71AF2"/>
    <w:rsid w:val="10BB75CF"/>
    <w:rsid w:val="11213398"/>
    <w:rsid w:val="11835746"/>
    <w:rsid w:val="12240A0A"/>
    <w:rsid w:val="13404DD3"/>
    <w:rsid w:val="1347637A"/>
    <w:rsid w:val="135B3212"/>
    <w:rsid w:val="13942E44"/>
    <w:rsid w:val="1480580B"/>
    <w:rsid w:val="15CB01DE"/>
    <w:rsid w:val="15FA352C"/>
    <w:rsid w:val="16BB5F2C"/>
    <w:rsid w:val="16CA4D2C"/>
    <w:rsid w:val="16E6377B"/>
    <w:rsid w:val="16F06DE0"/>
    <w:rsid w:val="17336823"/>
    <w:rsid w:val="187C0D6B"/>
    <w:rsid w:val="188B0795"/>
    <w:rsid w:val="194B7CE4"/>
    <w:rsid w:val="197D4219"/>
    <w:rsid w:val="198C1605"/>
    <w:rsid w:val="19EA6B66"/>
    <w:rsid w:val="1AA26902"/>
    <w:rsid w:val="1AAF74EB"/>
    <w:rsid w:val="1AC1475C"/>
    <w:rsid w:val="1B025F63"/>
    <w:rsid w:val="1B0F0BA0"/>
    <w:rsid w:val="1B6F0DC9"/>
    <w:rsid w:val="1C215368"/>
    <w:rsid w:val="1C3C7ED1"/>
    <w:rsid w:val="1C496310"/>
    <w:rsid w:val="1D8711D4"/>
    <w:rsid w:val="1DC767CF"/>
    <w:rsid w:val="1E893F0E"/>
    <w:rsid w:val="1EC73D14"/>
    <w:rsid w:val="1F1C0A7A"/>
    <w:rsid w:val="1F6071CE"/>
    <w:rsid w:val="1F9675F9"/>
    <w:rsid w:val="20DE51A0"/>
    <w:rsid w:val="21DE22EA"/>
    <w:rsid w:val="21F670D7"/>
    <w:rsid w:val="222349CE"/>
    <w:rsid w:val="223134DF"/>
    <w:rsid w:val="2313343F"/>
    <w:rsid w:val="240F0148"/>
    <w:rsid w:val="245D4347"/>
    <w:rsid w:val="247513E0"/>
    <w:rsid w:val="24F82C4B"/>
    <w:rsid w:val="25641AD5"/>
    <w:rsid w:val="25A1281B"/>
    <w:rsid w:val="25D42DDE"/>
    <w:rsid w:val="261C72CD"/>
    <w:rsid w:val="281C5957"/>
    <w:rsid w:val="28240ED3"/>
    <w:rsid w:val="2AAA57F7"/>
    <w:rsid w:val="2AAD3B41"/>
    <w:rsid w:val="2AE2014D"/>
    <w:rsid w:val="2BBD602B"/>
    <w:rsid w:val="2C3F1F0E"/>
    <w:rsid w:val="2CA410D8"/>
    <w:rsid w:val="2CB73FE8"/>
    <w:rsid w:val="2D085FA8"/>
    <w:rsid w:val="2D437BD3"/>
    <w:rsid w:val="2D744BC3"/>
    <w:rsid w:val="2D883292"/>
    <w:rsid w:val="2D931AEB"/>
    <w:rsid w:val="2DF8192B"/>
    <w:rsid w:val="2E0E263E"/>
    <w:rsid w:val="2E3753A7"/>
    <w:rsid w:val="2E48670E"/>
    <w:rsid w:val="2E974DF2"/>
    <w:rsid w:val="2ECC45B4"/>
    <w:rsid w:val="2F086E62"/>
    <w:rsid w:val="2F2A5E40"/>
    <w:rsid w:val="2F341996"/>
    <w:rsid w:val="2F557669"/>
    <w:rsid w:val="2FEE0A25"/>
    <w:rsid w:val="303108BB"/>
    <w:rsid w:val="3087775F"/>
    <w:rsid w:val="30D02902"/>
    <w:rsid w:val="321A198A"/>
    <w:rsid w:val="326B5E49"/>
    <w:rsid w:val="32FD3DFD"/>
    <w:rsid w:val="3314156C"/>
    <w:rsid w:val="34632FD8"/>
    <w:rsid w:val="34FE2FBD"/>
    <w:rsid w:val="36195432"/>
    <w:rsid w:val="3647387F"/>
    <w:rsid w:val="364C501E"/>
    <w:rsid w:val="367B7056"/>
    <w:rsid w:val="36AA7FB9"/>
    <w:rsid w:val="37894597"/>
    <w:rsid w:val="38641E84"/>
    <w:rsid w:val="39315B32"/>
    <w:rsid w:val="3A2071EB"/>
    <w:rsid w:val="3B763536"/>
    <w:rsid w:val="3BC95299"/>
    <w:rsid w:val="3D5C5142"/>
    <w:rsid w:val="3DC13DCB"/>
    <w:rsid w:val="3E9545C3"/>
    <w:rsid w:val="3EAD08B9"/>
    <w:rsid w:val="3EAD6B2D"/>
    <w:rsid w:val="3F41499F"/>
    <w:rsid w:val="3FB92B7A"/>
    <w:rsid w:val="3FCC37F4"/>
    <w:rsid w:val="403F56DD"/>
    <w:rsid w:val="404506A0"/>
    <w:rsid w:val="406F7959"/>
    <w:rsid w:val="40B15017"/>
    <w:rsid w:val="41122711"/>
    <w:rsid w:val="41340DF0"/>
    <w:rsid w:val="41CE0AC7"/>
    <w:rsid w:val="4340284B"/>
    <w:rsid w:val="44EF47EA"/>
    <w:rsid w:val="45401629"/>
    <w:rsid w:val="45A0278A"/>
    <w:rsid w:val="45AA7A8A"/>
    <w:rsid w:val="468B10DE"/>
    <w:rsid w:val="46C27E81"/>
    <w:rsid w:val="46C55264"/>
    <w:rsid w:val="47920302"/>
    <w:rsid w:val="47CF2B37"/>
    <w:rsid w:val="483E1E79"/>
    <w:rsid w:val="485220F8"/>
    <w:rsid w:val="492615EE"/>
    <w:rsid w:val="49FF7C7C"/>
    <w:rsid w:val="4A202EB9"/>
    <w:rsid w:val="4A7062F7"/>
    <w:rsid w:val="4B776CA8"/>
    <w:rsid w:val="4BA432D8"/>
    <w:rsid w:val="4BC270B9"/>
    <w:rsid w:val="4BC37C70"/>
    <w:rsid w:val="4C82337D"/>
    <w:rsid w:val="4CB21069"/>
    <w:rsid w:val="4CD95933"/>
    <w:rsid w:val="4D7F0999"/>
    <w:rsid w:val="4DBA77BE"/>
    <w:rsid w:val="4E6F2B47"/>
    <w:rsid w:val="4F693E69"/>
    <w:rsid w:val="4FC37AD4"/>
    <w:rsid w:val="4FD96DA7"/>
    <w:rsid w:val="50836BE6"/>
    <w:rsid w:val="50DA2806"/>
    <w:rsid w:val="5106730E"/>
    <w:rsid w:val="510938CE"/>
    <w:rsid w:val="518B3208"/>
    <w:rsid w:val="51A34DF9"/>
    <w:rsid w:val="52982315"/>
    <w:rsid w:val="53154013"/>
    <w:rsid w:val="53630C89"/>
    <w:rsid w:val="54333B29"/>
    <w:rsid w:val="558105FC"/>
    <w:rsid w:val="55CD3537"/>
    <w:rsid w:val="57141C31"/>
    <w:rsid w:val="57960862"/>
    <w:rsid w:val="57F16B57"/>
    <w:rsid w:val="5809312C"/>
    <w:rsid w:val="580A27B7"/>
    <w:rsid w:val="582A7F9D"/>
    <w:rsid w:val="5875646C"/>
    <w:rsid w:val="58A91882"/>
    <w:rsid w:val="597054CA"/>
    <w:rsid w:val="59B51D4F"/>
    <w:rsid w:val="59F628AC"/>
    <w:rsid w:val="5B0E41AE"/>
    <w:rsid w:val="5B315295"/>
    <w:rsid w:val="5BC113B7"/>
    <w:rsid w:val="5CB43924"/>
    <w:rsid w:val="5D8C116B"/>
    <w:rsid w:val="5E095FD6"/>
    <w:rsid w:val="5E5D258D"/>
    <w:rsid w:val="5E934357"/>
    <w:rsid w:val="5EC453E3"/>
    <w:rsid w:val="5EEA1043"/>
    <w:rsid w:val="5F636374"/>
    <w:rsid w:val="60190F9F"/>
    <w:rsid w:val="605A4B37"/>
    <w:rsid w:val="6184704B"/>
    <w:rsid w:val="6253473B"/>
    <w:rsid w:val="62EE30F6"/>
    <w:rsid w:val="645E2E00"/>
    <w:rsid w:val="64AB0006"/>
    <w:rsid w:val="64C50195"/>
    <w:rsid w:val="656B3398"/>
    <w:rsid w:val="656E659F"/>
    <w:rsid w:val="657E2B4D"/>
    <w:rsid w:val="65EC4DE9"/>
    <w:rsid w:val="65FC0C50"/>
    <w:rsid w:val="67167B43"/>
    <w:rsid w:val="67A53623"/>
    <w:rsid w:val="67BA6E8B"/>
    <w:rsid w:val="67BC596A"/>
    <w:rsid w:val="67FB6069"/>
    <w:rsid w:val="68E905AE"/>
    <w:rsid w:val="6AE86D0E"/>
    <w:rsid w:val="6AF93F48"/>
    <w:rsid w:val="6B9A2B0C"/>
    <w:rsid w:val="6BDC0F40"/>
    <w:rsid w:val="6CCE547E"/>
    <w:rsid w:val="6D1839B1"/>
    <w:rsid w:val="6D1E6CC3"/>
    <w:rsid w:val="6E030056"/>
    <w:rsid w:val="6E0D77BA"/>
    <w:rsid w:val="6E5A5602"/>
    <w:rsid w:val="6E6A1628"/>
    <w:rsid w:val="6F7B76F7"/>
    <w:rsid w:val="6F7F57FF"/>
    <w:rsid w:val="704F0F95"/>
    <w:rsid w:val="715A177E"/>
    <w:rsid w:val="71EB0593"/>
    <w:rsid w:val="72424F35"/>
    <w:rsid w:val="72596AC8"/>
    <w:rsid w:val="738D321C"/>
    <w:rsid w:val="73FE3F12"/>
    <w:rsid w:val="74116C21"/>
    <w:rsid w:val="744121F5"/>
    <w:rsid w:val="75AA43C6"/>
    <w:rsid w:val="75C02EC6"/>
    <w:rsid w:val="76036A68"/>
    <w:rsid w:val="76F30D56"/>
    <w:rsid w:val="77622508"/>
    <w:rsid w:val="782A0B40"/>
    <w:rsid w:val="78752C1C"/>
    <w:rsid w:val="79272079"/>
    <w:rsid w:val="7A0F12E6"/>
    <w:rsid w:val="7A443267"/>
    <w:rsid w:val="7B134AFA"/>
    <w:rsid w:val="7B3103E1"/>
    <w:rsid w:val="7B513F58"/>
    <w:rsid w:val="7BCF69E7"/>
    <w:rsid w:val="7BDA0039"/>
    <w:rsid w:val="7CED2B42"/>
    <w:rsid w:val="7E2365DE"/>
    <w:rsid w:val="7E43770C"/>
    <w:rsid w:val="7E9267E4"/>
    <w:rsid w:val="7EA10AE0"/>
    <w:rsid w:val="7EC218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38"/>
    <w:qFormat/>
    <w:uiPriority w:val="0"/>
    <w:pPr>
      <w:keepNext/>
      <w:keepLines/>
      <w:numPr>
        <w:ilvl w:val="0"/>
        <w:numId w:val="1"/>
      </w:numPr>
      <w:pBdr>
        <w:top w:val="single" w:color="auto" w:sz="12" w:space="3"/>
      </w:pBdr>
      <w:tabs>
        <w:tab w:val="left" w:pos="432"/>
      </w:tabs>
      <w:overflowPunct w:val="0"/>
      <w:autoSpaceDE w:val="0"/>
      <w:autoSpaceDN w:val="0"/>
      <w:adjustRightInd w:val="0"/>
      <w:spacing w:beforeLines="50" w:after="120" w:line="259" w:lineRule="auto"/>
      <w:textAlignment w:val="baseline"/>
      <w:outlineLvl w:val="0"/>
    </w:pPr>
    <w:rPr>
      <w:rFonts w:ascii="Arial" w:hAnsi="Arial" w:eastAsia="宋体" w:cs="Times New Roman"/>
      <w:sz w:val="28"/>
      <w:szCs w:val="22"/>
      <w:lang w:val="en-GB" w:eastAsia="zh-CN" w:bidi="ar-SA"/>
    </w:rPr>
  </w:style>
  <w:style w:type="paragraph" w:styleId="3">
    <w:name w:val="heading 2"/>
    <w:basedOn w:val="1"/>
    <w:next w:val="1"/>
    <w:link w:val="104"/>
    <w:qFormat/>
    <w:uiPriority w:val="0"/>
    <w:pPr>
      <w:keepNext/>
      <w:numPr>
        <w:ilvl w:val="1"/>
        <w:numId w:val="1"/>
      </w:numPr>
      <w:tabs>
        <w:tab w:val="left" w:pos="576"/>
      </w:tabs>
      <w:spacing w:before="240" w:after="60"/>
      <w:outlineLvl w:val="1"/>
    </w:pPr>
    <w:rPr>
      <w:rFonts w:ascii="Arial" w:hAnsi="Arial" w:eastAsia="宋体" w:cs="Arial"/>
      <w:bCs/>
      <w:iCs/>
      <w:sz w:val="28"/>
      <w:szCs w:val="28"/>
      <w:lang w:val="en-US" w:eastAsia="zh-CN"/>
    </w:rPr>
  </w:style>
  <w:style w:type="paragraph" w:styleId="4">
    <w:name w:val="heading 3"/>
    <w:basedOn w:val="3"/>
    <w:next w:val="1"/>
    <w:qFormat/>
    <w:uiPriority w:val="0"/>
    <w:pPr>
      <w:keepNext/>
      <w:numPr>
        <w:ilvl w:val="2"/>
        <w:numId w:val="1"/>
      </w:numPr>
      <w:tabs>
        <w:tab w:val="left" w:pos="720"/>
        <w:tab w:val="clear" w:pos="576"/>
      </w:tabs>
      <w:spacing w:before="240" w:after="60"/>
      <w:outlineLvl w:val="2"/>
    </w:pPr>
    <w:rPr>
      <w:rFonts w:cs="Arial"/>
      <w:b/>
      <w:sz w:val="24"/>
      <w:szCs w:val="26"/>
    </w:rPr>
  </w:style>
  <w:style w:type="paragraph" w:styleId="5">
    <w:name w:val="heading 4"/>
    <w:basedOn w:val="1"/>
    <w:next w:val="1"/>
    <w:link w:val="39"/>
    <w:qFormat/>
    <w:uiPriority w:val="0"/>
    <w:pPr>
      <w:keepNext/>
      <w:numPr>
        <w:ilvl w:val="3"/>
        <w:numId w:val="1"/>
      </w:numPr>
      <w:tabs>
        <w:tab w:val="left" w:pos="864"/>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1008"/>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1152"/>
      </w:tabs>
      <w:spacing w:before="240" w:after="60"/>
      <w:outlineLvl w:val="5"/>
    </w:pPr>
    <w:rPr>
      <w:b/>
      <w:bCs/>
      <w:sz w:val="22"/>
      <w:szCs w:val="22"/>
    </w:rPr>
  </w:style>
  <w:style w:type="paragraph" w:styleId="8">
    <w:name w:val="heading 7"/>
    <w:basedOn w:val="1"/>
    <w:next w:val="1"/>
    <w:qFormat/>
    <w:uiPriority w:val="0"/>
    <w:pPr>
      <w:numPr>
        <w:ilvl w:val="6"/>
        <w:numId w:val="1"/>
      </w:numPr>
      <w:tabs>
        <w:tab w:val="left" w:pos="1296"/>
      </w:tabs>
      <w:spacing w:before="240" w:after="60"/>
      <w:outlineLvl w:val="6"/>
    </w:pPr>
    <w:rPr>
      <w:sz w:val="24"/>
      <w:szCs w:val="24"/>
    </w:rPr>
  </w:style>
  <w:style w:type="paragraph" w:styleId="9">
    <w:name w:val="heading 8"/>
    <w:basedOn w:val="1"/>
    <w:next w:val="10"/>
    <w:link w:val="43"/>
    <w:qFormat/>
    <w:uiPriority w:val="0"/>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hAnsi="Arial" w:eastAsia="宋体"/>
      <w:kern w:val="2"/>
      <w:sz w:val="21"/>
      <w:szCs w:val="24"/>
      <w:lang w:val="en-US" w:eastAsia="zh-CN"/>
    </w:rPr>
  </w:style>
  <w:style w:type="paragraph" w:styleId="11">
    <w:name w:val="heading 9"/>
    <w:basedOn w:val="1"/>
    <w:next w:val="10"/>
    <w:link w:val="49"/>
    <w:qFormat/>
    <w:uiPriority w:val="0"/>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hAnsi="Arial" w:eastAsia="宋体"/>
      <w:kern w:val="2"/>
      <w:sz w:val="21"/>
      <w:szCs w:val="24"/>
      <w:lang w:val="en-US" w:eastAsia="zh-CN"/>
    </w:rPr>
  </w:style>
  <w:style w:type="character" w:default="1" w:styleId="26">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3"/>
    <w:unhideWhenUsed/>
    <w:qFormat/>
    <w:uiPriority w:val="99"/>
    <w:rPr>
      <w:b/>
      <w:bCs/>
    </w:rPr>
  </w:style>
  <w:style w:type="paragraph" w:styleId="13">
    <w:name w:val="annotation text"/>
    <w:basedOn w:val="1"/>
    <w:link w:val="40"/>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15">
    <w:name w:val="caption"/>
    <w:basedOn w:val="1"/>
    <w:next w:val="1"/>
    <w:link w:val="34"/>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3"/>
    <w:unhideWhenUsed/>
    <w:qFormat/>
    <w:uiPriority w:val="99"/>
    <w:pPr>
      <w:spacing w:after="0"/>
    </w:pPr>
    <w:rPr>
      <w:rFonts w:ascii="Tahoma" w:hAnsi="Tahoma" w:cs="Tahoma"/>
      <w:sz w:val="16"/>
      <w:szCs w:val="16"/>
    </w:rPr>
  </w:style>
  <w:style w:type="paragraph" w:styleId="21">
    <w:name w:val="footer"/>
    <w:basedOn w:val="1"/>
    <w:link w:val="54"/>
    <w:unhideWhenUsed/>
    <w:qFormat/>
    <w:uiPriority w:val="99"/>
    <w:pPr>
      <w:tabs>
        <w:tab w:val="center" w:pos="4513"/>
        <w:tab w:val="right" w:pos="9026"/>
      </w:tabs>
      <w:snapToGrid w:val="0"/>
    </w:pPr>
  </w:style>
  <w:style w:type="paragraph" w:styleId="22">
    <w:name w:val="header"/>
    <w:basedOn w:val="1"/>
    <w:link w:val="48"/>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7">
    <w:name w:val="Strong"/>
    <w:basedOn w:val="26"/>
    <w:qFormat/>
    <w:uiPriority w:val="22"/>
    <w:rPr>
      <w:b/>
      <w:bCs/>
    </w:rPr>
  </w:style>
  <w:style w:type="character" w:styleId="28">
    <w:name w:val="FollowedHyperlink"/>
    <w:basedOn w:val="26"/>
    <w:qFormat/>
    <w:uiPriority w:val="0"/>
    <w:rPr>
      <w:color w:val="800080"/>
      <w:u w:val="single"/>
    </w:rPr>
  </w:style>
  <w:style w:type="character" w:styleId="29">
    <w:name w:val="Hyperlink"/>
    <w:basedOn w:val="26"/>
    <w:unhideWhenUsed/>
    <w:qFormat/>
    <w:uiPriority w:val="99"/>
    <w:rPr>
      <w:color w:val="0000FF"/>
      <w:u w:val="single"/>
    </w:rPr>
  </w:style>
  <w:style w:type="character" w:styleId="30">
    <w:name w:val="annotation reference"/>
    <w:basedOn w:val="26"/>
    <w:unhideWhenUsed/>
    <w:qFormat/>
    <w:uiPriority w:val="0"/>
    <w:rPr>
      <w:sz w:val="16"/>
      <w:szCs w:val="16"/>
    </w:rPr>
  </w:style>
  <w:style w:type="table" w:styleId="32">
    <w:name w:val="Table Grid"/>
    <w:basedOn w:val="3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Balloon Text Char"/>
    <w:basedOn w:val="26"/>
    <w:link w:val="20"/>
    <w:semiHidden/>
    <w:qFormat/>
    <w:uiPriority w:val="99"/>
    <w:rPr>
      <w:rFonts w:ascii="Tahoma" w:hAnsi="Tahoma" w:eastAsia="Times New Roman" w:cs="Tahoma"/>
      <w:sz w:val="16"/>
      <w:szCs w:val="16"/>
      <w:lang w:val="en-GB"/>
    </w:rPr>
  </w:style>
  <w:style w:type="character" w:customStyle="1" w:styleId="34">
    <w:name w:val="Caption Char"/>
    <w:basedOn w:val="26"/>
    <w:link w:val="15"/>
    <w:qFormat/>
    <w:uiPriority w:val="0"/>
    <w:rPr>
      <w:b/>
      <w:bCs/>
      <w:lang w:val="en-GB" w:eastAsia="en-US" w:bidi="ar-SA"/>
    </w:rPr>
  </w:style>
  <w:style w:type="character" w:customStyle="1" w:styleId="35">
    <w:name w:val="B1 (文字)"/>
    <w:basedOn w:val="26"/>
    <w:qFormat/>
    <w:uiPriority w:val="0"/>
    <w:rPr>
      <w:rFonts w:eastAsia="Times New Roman"/>
    </w:rPr>
  </w:style>
  <w:style w:type="character" w:customStyle="1" w:styleId="36">
    <w:name w:val="样式 正文缩进d + 首行缩进:  2 字符 段前: 0.35 行 Char"/>
    <w:basedOn w:val="26"/>
    <w:link w:val="37"/>
    <w:qFormat/>
    <w:locked/>
    <w:uiPriority w:val="0"/>
    <w:rPr>
      <w:rFonts w:ascii="Times New Roman" w:hAnsi="Times New Roman" w:eastAsia="KaiTi_GB2312" w:cs="宋体"/>
      <w:snapToGrid w:val="0"/>
      <w:sz w:val="28"/>
    </w:rPr>
  </w:style>
  <w:style w:type="paragraph" w:customStyle="1" w:styleId="37">
    <w:name w:val="样式 正文缩进d + 首行缩进:  2 字符 段前: 0.35 行"/>
    <w:basedOn w:val="10"/>
    <w:link w:val="36"/>
    <w:qFormat/>
    <w:uiPriority w:val="0"/>
    <w:pPr>
      <w:widowControl w:val="0"/>
      <w:overflowPunct/>
      <w:autoSpaceDE/>
      <w:autoSpaceDN/>
      <w:snapToGrid w:val="0"/>
      <w:spacing w:beforeLines="35" w:after="0" w:line="460" w:lineRule="exact"/>
      <w:ind w:firstLine="560"/>
    </w:pPr>
    <w:rPr>
      <w:rFonts w:eastAsia="KaiTi_GB2312" w:cs="宋体"/>
      <w:snapToGrid w:val="0"/>
      <w:sz w:val="28"/>
      <w:lang w:val="en-US" w:eastAsia="zh-CN"/>
    </w:rPr>
  </w:style>
  <w:style w:type="character" w:customStyle="1" w:styleId="38">
    <w:name w:val="Heading 1 Char"/>
    <w:basedOn w:val="26"/>
    <w:link w:val="2"/>
    <w:qFormat/>
    <w:uiPriority w:val="0"/>
    <w:rPr>
      <w:rFonts w:ascii="Arial" w:hAnsi="Arial" w:eastAsia="宋体"/>
      <w:sz w:val="28"/>
      <w:szCs w:val="22"/>
      <w:lang w:val="en-GB"/>
    </w:rPr>
  </w:style>
  <w:style w:type="character" w:customStyle="1" w:styleId="39">
    <w:name w:val="Heading 4 Char"/>
    <w:basedOn w:val="26"/>
    <w:link w:val="5"/>
    <w:qFormat/>
    <w:uiPriority w:val="0"/>
    <w:rPr>
      <w:rFonts w:ascii="Times New Roman" w:hAnsi="Times New Roman" w:eastAsia="Times New Roman"/>
      <w:b/>
      <w:bCs/>
      <w:sz w:val="28"/>
      <w:szCs w:val="28"/>
      <w:lang w:val="en-GB" w:eastAsia="en-US"/>
    </w:rPr>
  </w:style>
  <w:style w:type="character" w:customStyle="1" w:styleId="40">
    <w:name w:val="Comment Text Char"/>
    <w:basedOn w:val="26"/>
    <w:link w:val="13"/>
    <w:semiHidden/>
    <w:qFormat/>
    <w:uiPriority w:val="0"/>
    <w:rPr>
      <w:rFonts w:ascii="Times New Roman" w:hAnsi="Times New Roman" w:eastAsia="Times New Roman" w:cs="Times New Roman"/>
      <w:sz w:val="20"/>
      <w:szCs w:val="20"/>
      <w:lang w:val="en-GB"/>
    </w:rPr>
  </w:style>
  <w:style w:type="character" w:customStyle="1" w:styleId="41">
    <w:name w:val="TH Char"/>
    <w:link w:val="42"/>
    <w:qFormat/>
    <w:uiPriority w:val="0"/>
    <w:rPr>
      <w:rFonts w:ascii="Arial" w:hAnsi="Arial" w:eastAsia="Times New Roman"/>
      <w:b/>
      <w:lang w:val="en-GB" w:eastAsia="en-GB"/>
    </w:rPr>
  </w:style>
  <w:style w:type="paragraph" w:customStyle="1" w:styleId="42">
    <w:name w:val="TH"/>
    <w:basedOn w:val="1"/>
    <w:link w:val="41"/>
    <w:qFormat/>
    <w:uiPriority w:val="0"/>
    <w:pPr>
      <w:keepNext/>
      <w:keepLines/>
      <w:spacing w:before="60"/>
      <w:jc w:val="center"/>
    </w:pPr>
    <w:rPr>
      <w:rFonts w:ascii="Arial" w:hAnsi="Arial"/>
      <w:b/>
      <w:lang w:eastAsia="en-GB"/>
    </w:rPr>
  </w:style>
  <w:style w:type="character" w:customStyle="1" w:styleId="43">
    <w:name w:val="Heading 8 Char"/>
    <w:basedOn w:val="26"/>
    <w:link w:val="9"/>
    <w:qFormat/>
    <w:uiPriority w:val="0"/>
    <w:rPr>
      <w:rFonts w:ascii="Arial" w:hAnsi="Arial" w:eastAsia="宋体"/>
      <w:kern w:val="2"/>
      <w:sz w:val="21"/>
      <w:szCs w:val="24"/>
    </w:rPr>
  </w:style>
  <w:style w:type="character" w:customStyle="1" w:styleId="44">
    <w:name w:val="TAL Char"/>
    <w:basedOn w:val="26"/>
    <w:link w:val="45"/>
    <w:qFormat/>
    <w:uiPriority w:val="0"/>
    <w:rPr>
      <w:rFonts w:ascii="Arial" w:hAnsi="Arial"/>
      <w:sz w:val="18"/>
      <w:lang w:val="en-GB" w:eastAsia="ja-JP" w:bidi="ar-SA"/>
    </w:rPr>
  </w:style>
  <w:style w:type="paragraph" w:customStyle="1" w:styleId="45">
    <w:name w:val="TAL"/>
    <w:basedOn w:val="1"/>
    <w:link w:val="44"/>
    <w:qFormat/>
    <w:uiPriority w:val="0"/>
    <w:pPr>
      <w:keepNext/>
      <w:keepLines/>
      <w:spacing w:after="0"/>
    </w:pPr>
    <w:rPr>
      <w:rFonts w:ascii="Arial" w:hAnsi="Arial"/>
      <w:sz w:val="18"/>
      <w:lang w:eastAsia="ja-JP"/>
    </w:rPr>
  </w:style>
  <w:style w:type="character" w:customStyle="1" w:styleId="46">
    <w:name w:val="Text Car"/>
    <w:basedOn w:val="26"/>
    <w:link w:val="47"/>
    <w:qFormat/>
    <w:uiPriority w:val="0"/>
    <w:rPr>
      <w:rFonts w:ascii="Arial" w:hAnsi="Arial"/>
      <w:lang w:val="en-US" w:eastAsia="en-US" w:bidi="ar-SA"/>
    </w:rPr>
  </w:style>
  <w:style w:type="paragraph" w:customStyle="1" w:styleId="47">
    <w:name w:val="Text"/>
    <w:basedOn w:val="1"/>
    <w:link w:val="46"/>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48">
    <w:name w:val="Header Char"/>
    <w:basedOn w:val="26"/>
    <w:link w:val="22"/>
    <w:qFormat/>
    <w:uiPriority w:val="0"/>
    <w:rPr>
      <w:rFonts w:ascii="Arial" w:hAnsi="Arial" w:eastAsia="Times New Roman"/>
      <w:b/>
      <w:sz w:val="18"/>
      <w:lang w:val="en-US" w:eastAsia="en-US" w:bidi="ar-SA"/>
    </w:rPr>
  </w:style>
  <w:style w:type="character" w:customStyle="1" w:styleId="49">
    <w:name w:val="Heading 9 Char"/>
    <w:basedOn w:val="26"/>
    <w:link w:val="11"/>
    <w:qFormat/>
    <w:uiPriority w:val="0"/>
    <w:rPr>
      <w:rFonts w:ascii="Arial" w:hAnsi="Arial" w:eastAsia="宋体"/>
      <w:kern w:val="2"/>
      <w:sz w:val="21"/>
      <w:szCs w:val="24"/>
    </w:rPr>
  </w:style>
  <w:style w:type="character" w:customStyle="1" w:styleId="50">
    <w:name w:val="Doc-title Char"/>
    <w:basedOn w:val="26"/>
    <w:link w:val="51"/>
    <w:qFormat/>
    <w:uiPriority w:val="0"/>
    <w:rPr>
      <w:rFonts w:ascii="Arial" w:hAnsi="Arial" w:eastAsia="MS Mincho"/>
      <w:szCs w:val="24"/>
      <w:lang w:val="en-GB" w:eastAsia="en-GB" w:bidi="ar-SA"/>
    </w:rPr>
  </w:style>
  <w:style w:type="paragraph" w:customStyle="1" w:styleId="51">
    <w:name w:val="Doc-title"/>
    <w:basedOn w:val="1"/>
    <w:next w:val="52"/>
    <w:link w:val="50"/>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2">
    <w:name w:val="Doc-text2"/>
    <w:basedOn w:val="1"/>
    <w:link w:val="55"/>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3">
    <w:name w:val="Comment Subject Char"/>
    <w:basedOn w:val="40"/>
    <w:link w:val="12"/>
    <w:semiHidden/>
    <w:qFormat/>
    <w:uiPriority w:val="99"/>
    <w:rPr>
      <w:rFonts w:ascii="Times New Roman" w:hAnsi="Times New Roman" w:eastAsia="Times New Roman" w:cs="Times New Roman"/>
      <w:b/>
      <w:bCs/>
      <w:sz w:val="20"/>
      <w:szCs w:val="20"/>
      <w:lang w:val="en-GB"/>
    </w:rPr>
  </w:style>
  <w:style w:type="character" w:customStyle="1" w:styleId="54">
    <w:name w:val="Footer Char"/>
    <w:basedOn w:val="26"/>
    <w:link w:val="21"/>
    <w:qFormat/>
    <w:uiPriority w:val="99"/>
    <w:rPr>
      <w:rFonts w:ascii="Times New Roman" w:hAnsi="Times New Roman" w:eastAsia="Times New Roman"/>
      <w:lang w:val="en-GB" w:eastAsia="en-US"/>
    </w:rPr>
  </w:style>
  <w:style w:type="character" w:customStyle="1" w:styleId="55">
    <w:name w:val="Doc-text2 Char"/>
    <w:basedOn w:val="26"/>
    <w:link w:val="52"/>
    <w:qFormat/>
    <w:uiPriority w:val="0"/>
    <w:rPr>
      <w:rFonts w:ascii="Arial" w:hAnsi="Arial" w:eastAsia="MS Mincho"/>
      <w:szCs w:val="24"/>
      <w:lang w:val="en-GB" w:eastAsia="en-GB" w:bidi="ar-SA"/>
    </w:rPr>
  </w:style>
  <w:style w:type="character" w:customStyle="1" w:styleId="56">
    <w:name w:val="B1 Char1"/>
    <w:basedOn w:val="26"/>
    <w:link w:val="57"/>
    <w:qFormat/>
    <w:uiPriority w:val="0"/>
    <w:rPr>
      <w:rFonts w:eastAsia="MS Mincho"/>
      <w:lang w:val="en-GB" w:eastAsia="en-US" w:bidi="ar-SA"/>
    </w:rPr>
  </w:style>
  <w:style w:type="paragraph" w:customStyle="1" w:styleId="57">
    <w:name w:val="B1"/>
    <w:basedOn w:val="1"/>
    <w:link w:val="56"/>
    <w:qFormat/>
    <w:uiPriority w:val="0"/>
    <w:pPr>
      <w:overflowPunct/>
      <w:autoSpaceDE/>
      <w:autoSpaceDN/>
      <w:adjustRightInd/>
      <w:ind w:left="568" w:hanging="284"/>
      <w:textAlignment w:val="auto"/>
    </w:pPr>
    <w:rPr>
      <w:rFonts w:eastAsia="MS Mincho"/>
    </w:rPr>
  </w:style>
  <w:style w:type="character" w:customStyle="1" w:styleId="58">
    <w:name w:val="NO Char"/>
    <w:basedOn w:val="26"/>
    <w:link w:val="59"/>
    <w:qFormat/>
    <w:uiPriority w:val="0"/>
    <w:rPr>
      <w:rFonts w:eastAsia="MS Mincho"/>
      <w:lang w:val="en-GB" w:eastAsia="en-US" w:bidi="ar-SA"/>
    </w:rPr>
  </w:style>
  <w:style w:type="paragraph" w:customStyle="1" w:styleId="59">
    <w:name w:val="NO"/>
    <w:basedOn w:val="1"/>
    <w:link w:val="58"/>
    <w:qFormat/>
    <w:uiPriority w:val="0"/>
    <w:pPr>
      <w:keepLines/>
      <w:overflowPunct/>
      <w:autoSpaceDE/>
      <w:autoSpaceDN/>
      <w:adjustRightInd/>
      <w:ind w:left="1135" w:hanging="851"/>
      <w:textAlignment w:val="auto"/>
    </w:pPr>
    <w:rPr>
      <w:rFonts w:eastAsia="MS Mincho"/>
    </w:rPr>
  </w:style>
  <w:style w:type="character" w:customStyle="1" w:styleId="60">
    <w:name w:val="TAH Char"/>
    <w:basedOn w:val="26"/>
    <w:link w:val="61"/>
    <w:qFormat/>
    <w:uiPriority w:val="0"/>
    <w:rPr>
      <w:rFonts w:ascii="Arial" w:hAnsi="Arial"/>
      <w:b/>
      <w:sz w:val="18"/>
      <w:lang w:val="en-GB" w:eastAsia="ja-JP" w:bidi="ar-SA"/>
    </w:rPr>
  </w:style>
  <w:style w:type="paragraph" w:customStyle="1" w:styleId="61">
    <w:name w:val="TAH"/>
    <w:basedOn w:val="62"/>
    <w:link w:val="60"/>
    <w:qFormat/>
    <w:uiPriority w:val="0"/>
    <w:rPr>
      <w:b/>
    </w:rPr>
  </w:style>
  <w:style w:type="paragraph" w:customStyle="1" w:styleId="62">
    <w:name w:val="TAC"/>
    <w:basedOn w:val="45"/>
    <w:link w:val="72"/>
    <w:qFormat/>
    <w:uiPriority w:val="0"/>
    <w:pPr>
      <w:jc w:val="center"/>
    </w:pPr>
  </w:style>
  <w:style w:type="character" w:customStyle="1" w:styleId="63">
    <w:name w:val="msoins"/>
    <w:basedOn w:val="26"/>
    <w:qFormat/>
    <w:uiPriority w:val="0"/>
  </w:style>
  <w:style w:type="character" w:customStyle="1" w:styleId="64">
    <w:name w:val="B2 Char1"/>
    <w:basedOn w:val="40"/>
    <w:link w:val="65"/>
    <w:qFormat/>
    <w:uiPriority w:val="0"/>
    <w:rPr>
      <w:rFonts w:ascii="Times New Roman" w:hAnsi="Times New Roman" w:eastAsia="Times New Roman" w:cs="Times New Roman"/>
      <w:sz w:val="20"/>
      <w:szCs w:val="20"/>
      <w:lang w:val="en-GB" w:eastAsia="en-US" w:bidi="ar-SA"/>
    </w:rPr>
  </w:style>
  <w:style w:type="paragraph" w:customStyle="1" w:styleId="65">
    <w:name w:val="B2"/>
    <w:basedOn w:val="1"/>
    <w:link w:val="64"/>
    <w:qFormat/>
    <w:uiPriority w:val="0"/>
    <w:pPr>
      <w:overflowPunct/>
      <w:autoSpaceDE/>
      <w:autoSpaceDN/>
      <w:adjustRightInd/>
      <w:ind w:left="851" w:hanging="284"/>
      <w:textAlignment w:val="auto"/>
    </w:pPr>
  </w:style>
  <w:style w:type="character" w:customStyle="1" w:styleId="66">
    <w:name w:val="TAL + Left:  1.00 cm Char Char"/>
    <w:basedOn w:val="44"/>
    <w:link w:val="67"/>
    <w:qFormat/>
    <w:uiPriority w:val="0"/>
    <w:rPr>
      <w:rFonts w:ascii="Arial" w:hAnsi="Arial"/>
      <w:sz w:val="18"/>
      <w:lang w:val="en-GB" w:eastAsia="en-GB" w:bidi="ar-SA"/>
    </w:rPr>
  </w:style>
  <w:style w:type="paragraph" w:customStyle="1" w:styleId="67">
    <w:name w:val="TAL + Left:  1"/>
    <w:basedOn w:val="45"/>
    <w:link w:val="66"/>
    <w:qFormat/>
    <w:uiPriority w:val="0"/>
    <w:pPr>
      <w:ind w:left="567"/>
    </w:pPr>
    <w:rPr>
      <w:lang w:eastAsia="en-GB"/>
    </w:rPr>
  </w:style>
  <w:style w:type="character" w:customStyle="1" w:styleId="68">
    <w:name w:val="header odd Char"/>
    <w:basedOn w:val="26"/>
    <w:qFormat/>
    <w:uiPriority w:val="0"/>
    <w:rPr>
      <w:lang w:val="en-GB" w:eastAsia="en-US" w:bidi="ar-SA"/>
    </w:rPr>
  </w:style>
  <w:style w:type="character" w:customStyle="1" w:styleId="69">
    <w:name w:val="B1 Char"/>
    <w:basedOn w:val="26"/>
    <w:qFormat/>
    <w:uiPriority w:val="0"/>
    <w:rPr>
      <w:rFonts w:ascii="Times New Roman" w:hAnsi="Times New Roman"/>
      <w:lang w:val="en-GB" w:eastAsia="en-US"/>
    </w:rPr>
  </w:style>
  <w:style w:type="character" w:customStyle="1" w:styleId="70">
    <w:name w:val="PL Char"/>
    <w:basedOn w:val="26"/>
    <w:link w:val="71"/>
    <w:qFormat/>
    <w:uiPriority w:val="0"/>
    <w:rPr>
      <w:rFonts w:ascii="Courier New" w:hAnsi="Courier New" w:eastAsia="宋体"/>
      <w:sz w:val="16"/>
      <w:lang w:val="en-GB" w:eastAsia="ja-JP" w:bidi="ar-SA"/>
    </w:rPr>
  </w:style>
  <w:style w:type="paragraph" w:customStyle="1" w:styleId="7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character" w:customStyle="1" w:styleId="72">
    <w:name w:val="TAC Char"/>
    <w:link w:val="62"/>
    <w:qFormat/>
    <w:uiPriority w:val="0"/>
    <w:rPr>
      <w:rFonts w:ascii="Arial" w:hAnsi="Arial" w:eastAsia="Times New Roman"/>
      <w:sz w:val="18"/>
      <w:lang w:val="en-GB" w:eastAsia="ja-JP"/>
    </w:rPr>
  </w:style>
  <w:style w:type="character" w:customStyle="1" w:styleId="73">
    <w:name w:val="占位符文本1"/>
    <w:basedOn w:val="26"/>
    <w:semiHidden/>
    <w:qFormat/>
    <w:uiPriority w:val="99"/>
    <w:rPr>
      <w:color w:val="808080"/>
    </w:rPr>
  </w:style>
  <w:style w:type="character" w:customStyle="1" w:styleId="74">
    <w:name w:val="MTEquationSection"/>
    <w:basedOn w:val="26"/>
    <w:qFormat/>
    <w:uiPriority w:val="0"/>
    <w:rPr>
      <w:rFonts w:cs="Arial"/>
      <w:bCs/>
      <w:vanish/>
      <w:color w:val="FF0000"/>
      <w:sz w:val="28"/>
      <w:szCs w:val="28"/>
      <w:lang w:eastAsia="zh-CN"/>
    </w:rPr>
  </w:style>
  <w:style w:type="character" w:customStyle="1" w:styleId="75">
    <w:name w:val="MTDisplayEquation Char"/>
    <w:basedOn w:val="26"/>
    <w:link w:val="76"/>
    <w:qFormat/>
    <w:uiPriority w:val="0"/>
    <w:rPr>
      <w:rFonts w:ascii="Times New Roman" w:hAnsi="Times New Roman" w:eastAsia="宋体"/>
    </w:rPr>
  </w:style>
  <w:style w:type="paragraph" w:customStyle="1" w:styleId="76">
    <w:name w:val="MTDisplayEquation"/>
    <w:basedOn w:val="1"/>
    <w:next w:val="1"/>
    <w:link w:val="75"/>
    <w:qFormat/>
    <w:uiPriority w:val="0"/>
    <w:pPr>
      <w:tabs>
        <w:tab w:val="center" w:pos="4680"/>
        <w:tab w:val="right" w:pos="9360"/>
      </w:tabs>
    </w:pPr>
    <w:rPr>
      <w:rFonts w:eastAsia="宋体"/>
      <w:lang w:val="en-US" w:eastAsia="zh-CN"/>
    </w:rPr>
  </w:style>
  <w:style w:type="character" w:customStyle="1" w:styleId="77">
    <w:name w:val="apple-converted-space"/>
    <w:basedOn w:val="26"/>
    <w:qFormat/>
    <w:uiPriority w:val="0"/>
  </w:style>
  <w:style w:type="character" w:customStyle="1" w:styleId="78">
    <w:name w:val="列出段落 Char"/>
    <w:link w:val="79"/>
    <w:qFormat/>
    <w:uiPriority w:val="72"/>
    <w:rPr>
      <w:rFonts w:ascii="宋体" w:hAnsi="宋体" w:eastAsia="宋体" w:cs="宋体"/>
      <w:sz w:val="24"/>
      <w:szCs w:val="24"/>
    </w:rPr>
  </w:style>
  <w:style w:type="paragraph" w:customStyle="1" w:styleId="79">
    <w:name w:val="列出段落1"/>
    <w:basedOn w:val="1"/>
    <w:link w:val="78"/>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0">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1">
    <w:name w:val="Reference"/>
    <w:basedOn w:val="1"/>
    <w:qFormat/>
    <w:uiPriority w:val="0"/>
    <w:pPr>
      <w:tabs>
        <w:tab w:val="left" w:pos="420"/>
      </w:tabs>
      <w:ind w:left="420" w:right="-99" w:hanging="420"/>
    </w:pPr>
    <w:rPr>
      <w:rFonts w:eastAsia="MS Mincho"/>
      <w:sz w:val="22"/>
    </w:rPr>
  </w:style>
  <w:style w:type="paragraph" w:customStyle="1" w:styleId="82">
    <w:name w:val="CR Cover Page"/>
    <w:qFormat/>
    <w:uiPriority w:val="0"/>
    <w:pPr>
      <w:spacing w:after="120" w:line="259" w:lineRule="auto"/>
    </w:pPr>
    <w:rPr>
      <w:rFonts w:ascii="Arial" w:hAnsi="Arial" w:eastAsia="MS Mincho" w:cs="Times New Roman"/>
      <w:lang w:val="en-GB" w:eastAsia="en-US" w:bidi="ar-SA"/>
    </w:rPr>
  </w:style>
  <w:style w:type="paragraph" w:customStyle="1" w:styleId="83">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4">
    <w:name w:val="修订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85">
    <w:name w:val="EQ"/>
    <w:basedOn w:val="1"/>
    <w:next w:val="1"/>
    <w:qFormat/>
    <w:uiPriority w:val="0"/>
    <w:pPr>
      <w:keepLines/>
      <w:tabs>
        <w:tab w:val="center" w:pos="4536"/>
        <w:tab w:val="right" w:pos="9072"/>
      </w:tabs>
    </w:pPr>
    <w:rPr>
      <w:lang w:val="en-US" w:eastAsia="en-GB"/>
    </w:rPr>
  </w:style>
  <w:style w:type="paragraph" w:customStyle="1" w:styleId="86">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7">
    <w:name w:val="List Paragraph1"/>
    <w:basedOn w:val="1"/>
    <w:qFormat/>
    <w:uiPriority w:val="34"/>
    <w:pPr>
      <w:ind w:left="720"/>
      <w:contextualSpacing/>
    </w:pPr>
  </w:style>
  <w:style w:type="paragraph" w:customStyle="1" w:styleId="8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89">
    <w:name w:val="Style Numbered (Latin) Bold Before:  0 cm Hanging:  063 cm"/>
    <w:next w:val="24"/>
    <w:qFormat/>
    <w:uiPriority w:val="0"/>
    <w:pPr>
      <w:tabs>
        <w:tab w:val="left" w:pos="360"/>
      </w:tabs>
      <w:spacing w:after="160" w:line="259" w:lineRule="auto"/>
      <w:ind w:left="360" w:hanging="360"/>
    </w:pPr>
    <w:rPr>
      <w:rFonts w:ascii="Times New Roman" w:hAnsi="Times New Roman" w:eastAsia="MS Mincho" w:cs="Times New Roman"/>
      <w:lang w:val="en-GB" w:eastAsia="en-US" w:bidi="ar-SA"/>
    </w:rPr>
  </w:style>
  <w:style w:type="paragraph" w:customStyle="1" w:styleId="90">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1">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2">
    <w:name w:val="TAL + Left: 1"/>
    <w:basedOn w:val="45"/>
    <w:qFormat/>
    <w:uiPriority w:val="0"/>
    <w:pPr>
      <w:ind w:left="567"/>
    </w:pPr>
    <w:rPr>
      <w:lang w:eastAsia="en-US"/>
    </w:rPr>
  </w:style>
  <w:style w:type="paragraph" w:customStyle="1" w:styleId="93">
    <w:name w:val="TF"/>
    <w:basedOn w:val="42"/>
    <w:qFormat/>
    <w:uiPriority w:val="0"/>
    <w:pPr>
      <w:keepNext w:val="0"/>
      <w:spacing w:before="0" w:after="240"/>
    </w:pPr>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eastAsia="Batang" w:cs="Times New Roman"/>
      <w:b/>
      <w:sz w:val="34"/>
      <w:lang w:val="en-GB" w:eastAsia="en-US" w:bidi="ar-SA"/>
    </w:rPr>
  </w:style>
  <w:style w:type="paragraph" w:customStyle="1" w:styleId="95">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6">
    <w:name w:val="_Style 1"/>
    <w:basedOn w:val="1"/>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97">
    <w:name w:val="修订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98">
    <w:name w:val="列出段落2"/>
    <w:basedOn w:val="1"/>
    <w:qFormat/>
    <w:uiPriority w:val="99"/>
    <w:pPr>
      <w:ind w:firstLine="420" w:firstLineChars="200"/>
    </w:pPr>
  </w:style>
  <w:style w:type="paragraph" w:customStyle="1" w:styleId="99">
    <w:name w:val="列出段落3"/>
    <w:basedOn w:val="1"/>
    <w:qFormat/>
    <w:uiPriority w:val="99"/>
    <w:pPr>
      <w:ind w:firstLine="420" w:firstLineChars="200"/>
    </w:pPr>
  </w:style>
  <w:style w:type="paragraph" w:customStyle="1" w:styleId="100">
    <w:name w:val="List Paragraph4"/>
    <w:basedOn w:val="1"/>
    <w:qFormat/>
    <w:uiPriority w:val="99"/>
    <w:pPr>
      <w:ind w:left="720"/>
      <w:contextualSpacing/>
    </w:pPr>
  </w:style>
  <w:style w:type="paragraph" w:customStyle="1" w:styleId="101">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2">
    <w:name w:val="List Paragraph2"/>
    <w:basedOn w:val="1"/>
    <w:qFormat/>
    <w:uiPriority w:val="99"/>
    <w:pPr>
      <w:ind w:firstLine="420" w:firstLineChars="200"/>
    </w:pPr>
  </w:style>
  <w:style w:type="paragraph" w:customStyle="1" w:styleId="103">
    <w:name w:val="Editor's Note"/>
    <w:basedOn w:val="59"/>
    <w:qFormat/>
    <w:uiPriority w:val="0"/>
    <w:rPr>
      <w:color w:val="FF0000"/>
    </w:rPr>
  </w:style>
  <w:style w:type="character" w:customStyle="1" w:styleId="104">
    <w:name w:val="标题 2 Char"/>
    <w:link w:val="3"/>
    <w:qFormat/>
    <w:uiPriority w:val="0"/>
    <w:rPr>
      <w:rFonts w:ascii="Arial" w:hAnsi="Arial" w:eastAsia="宋体" w:cs="Arial"/>
      <w:bCs/>
      <w:iCs/>
      <w:sz w:val="28"/>
      <w:szCs w:val="28"/>
      <w:lang w:val="en-US" w:eastAsia="zh-CN"/>
    </w:rPr>
  </w:style>
  <w:style w:type="paragraph" w:customStyle="1" w:styleId="105">
    <w:name w:val="LGTdoc_본문"/>
    <w:basedOn w:val="1"/>
    <w:qFormat/>
    <w:uiPriority w:val="0"/>
    <w:pPr>
      <w:wordWrap/>
      <w:adjustRightInd w:val="0"/>
      <w:snapToGrid w:val="0"/>
      <w:spacing w:after="120" w:afterLines="50" w:line="264" w:lineRule="auto"/>
    </w:pPr>
    <w:rPr>
      <w:rFonts w:ascii="Times New Roman"/>
      <w:sz w:val="22"/>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D9146-0962-41E1-B22A-BF36C0A4A251}">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1573</Words>
  <Characters>8404</Characters>
  <Lines>171</Lines>
  <Paragraphs>81</Paragraphs>
  <TotalTime>0</TotalTime>
  <ScaleCrop>false</ScaleCrop>
  <LinksUpToDate>false</LinksUpToDate>
  <CharactersWithSpaces>9896</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2018-08-10T16:24:00Z</dcterms:created>
  <dc:creator>ZTE</dc:creator>
  <cp:lastModifiedBy>ZTE</cp:lastModifiedBy>
  <cp:lastPrinted>2011-10-28T07:16:00Z</cp:lastPrinted>
  <dcterms:modified xsi:type="dcterms:W3CDTF">2018-09-28T03:48:54Z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